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AC592" w14:textId="77777777" w:rsidR="00B9071F" w:rsidRPr="00E53977" w:rsidRDefault="00B9071F" w:rsidP="002771FB">
      <w:pPr>
        <w:widowControl w:val="0"/>
        <w:spacing w:after="0" w:line="240" w:lineRule="auto"/>
        <w:rPr>
          <w:rFonts w:ascii="Sylfaen" w:hAnsi="Sylfaen" w:cs="Times New Roman"/>
          <w:b/>
          <w:bCs/>
          <w:sz w:val="48"/>
          <w:szCs w:val="48"/>
        </w:rPr>
      </w:pPr>
      <w:bookmarkStart w:id="0" w:name="_Hlk522107623"/>
      <w:bookmarkStart w:id="1" w:name="_Toc508180488"/>
      <w:bookmarkStart w:id="2" w:name="_Hlk480376475"/>
      <w:bookmarkStart w:id="3" w:name="_GoBack"/>
      <w:bookmarkEnd w:id="0"/>
      <w:bookmarkEnd w:id="3"/>
    </w:p>
    <w:p w14:paraId="19EA3B79" w14:textId="77777777" w:rsidR="00B9071F" w:rsidRPr="00E53977" w:rsidRDefault="00B9071F" w:rsidP="002771FB">
      <w:pPr>
        <w:widowControl w:val="0"/>
        <w:spacing w:after="0" w:line="240" w:lineRule="auto"/>
        <w:jc w:val="center"/>
        <w:rPr>
          <w:rFonts w:ascii="Sylfaen" w:hAnsi="Sylfaen" w:cs="Times New Roman"/>
          <w:b/>
          <w:bCs/>
          <w:sz w:val="48"/>
          <w:szCs w:val="48"/>
        </w:rPr>
      </w:pPr>
    </w:p>
    <w:p w14:paraId="49F844BB" w14:textId="77777777" w:rsidR="00B9071F" w:rsidRPr="00E53977" w:rsidRDefault="00B9071F" w:rsidP="002771FB">
      <w:pPr>
        <w:widowControl w:val="0"/>
        <w:spacing w:after="0" w:line="240" w:lineRule="auto"/>
        <w:jc w:val="center"/>
        <w:rPr>
          <w:rFonts w:ascii="Sylfaen" w:hAnsi="Sylfaen" w:cs="Times New Roman"/>
          <w:b/>
          <w:bCs/>
          <w:sz w:val="48"/>
          <w:szCs w:val="48"/>
        </w:rPr>
      </w:pPr>
    </w:p>
    <w:p w14:paraId="5471A77A" w14:textId="77777777" w:rsidR="00B9071F" w:rsidRPr="00E53977" w:rsidRDefault="00B9071F" w:rsidP="002771FB">
      <w:pPr>
        <w:widowControl w:val="0"/>
        <w:spacing w:after="0" w:line="240" w:lineRule="auto"/>
        <w:jc w:val="center"/>
        <w:rPr>
          <w:rFonts w:ascii="Sylfaen" w:hAnsi="Sylfaen" w:cs="Times New Roman"/>
          <w:b/>
          <w:bCs/>
          <w:sz w:val="48"/>
          <w:szCs w:val="48"/>
        </w:rPr>
      </w:pPr>
    </w:p>
    <w:p w14:paraId="2732E297" w14:textId="77777777" w:rsidR="00B9071F" w:rsidRPr="00E53977" w:rsidRDefault="00B9071F" w:rsidP="002771FB">
      <w:pPr>
        <w:widowControl w:val="0"/>
        <w:spacing w:after="0" w:line="240" w:lineRule="auto"/>
        <w:jc w:val="center"/>
        <w:rPr>
          <w:rFonts w:ascii="Sylfaen" w:hAnsi="Sylfaen" w:cs="Times New Roman"/>
          <w:b/>
          <w:bCs/>
          <w:sz w:val="48"/>
          <w:szCs w:val="48"/>
        </w:rPr>
      </w:pPr>
    </w:p>
    <w:p w14:paraId="662B8A94" w14:textId="77777777" w:rsidR="00B9071F" w:rsidRPr="00E53977" w:rsidRDefault="00B9071F" w:rsidP="002771FB">
      <w:pPr>
        <w:widowControl w:val="0"/>
        <w:spacing w:after="0" w:line="240" w:lineRule="auto"/>
        <w:jc w:val="center"/>
        <w:rPr>
          <w:rFonts w:ascii="Sylfaen" w:hAnsi="Sylfaen" w:cs="Times New Roman"/>
          <w:b/>
          <w:bCs/>
          <w:sz w:val="48"/>
          <w:szCs w:val="48"/>
        </w:rPr>
      </w:pPr>
    </w:p>
    <w:p w14:paraId="2F7033CC" w14:textId="77777777" w:rsidR="00B9071F" w:rsidRPr="00E53977" w:rsidRDefault="00B9071F" w:rsidP="002771FB">
      <w:pPr>
        <w:widowControl w:val="0"/>
        <w:spacing w:after="0" w:line="240" w:lineRule="auto"/>
        <w:jc w:val="center"/>
        <w:rPr>
          <w:rFonts w:ascii="Sylfaen" w:hAnsi="Sylfaen" w:cs="Times New Roman"/>
          <w:b/>
          <w:bCs/>
          <w:sz w:val="48"/>
          <w:szCs w:val="48"/>
        </w:rPr>
      </w:pPr>
    </w:p>
    <w:p w14:paraId="7E7FDF63" w14:textId="77777777" w:rsidR="00B9071F" w:rsidRPr="00E53977" w:rsidRDefault="00B9071F" w:rsidP="002771FB">
      <w:pPr>
        <w:widowControl w:val="0"/>
        <w:spacing w:after="0" w:line="240" w:lineRule="auto"/>
        <w:jc w:val="center"/>
        <w:rPr>
          <w:rFonts w:ascii="Sylfaen" w:hAnsi="Sylfaen" w:cs="Times New Roman"/>
          <w:b/>
          <w:bCs/>
          <w:color w:val="0070C0"/>
          <w:sz w:val="48"/>
          <w:szCs w:val="48"/>
        </w:rPr>
      </w:pPr>
      <w:r w:rsidRPr="00E53977">
        <w:rPr>
          <w:rFonts w:ascii="Sylfaen" w:hAnsi="Sylfaen" w:cs="Times New Roman"/>
          <w:b/>
          <w:bCs/>
          <w:color w:val="0070C0"/>
          <w:sz w:val="48"/>
          <w:szCs w:val="48"/>
        </w:rPr>
        <w:t>Food Safety Regulation in Georgia:</w:t>
      </w:r>
    </w:p>
    <w:p w14:paraId="0AA9E7B5" w14:textId="57FB7DC1" w:rsidR="00B9071F" w:rsidRPr="00E53977" w:rsidRDefault="00B9071F" w:rsidP="002771FB">
      <w:pPr>
        <w:widowControl w:val="0"/>
        <w:spacing w:after="0" w:line="240" w:lineRule="auto"/>
        <w:jc w:val="center"/>
        <w:rPr>
          <w:rFonts w:ascii="Sylfaen" w:hAnsi="Sylfaen" w:cs="Times New Roman"/>
          <w:b/>
          <w:bCs/>
          <w:sz w:val="48"/>
          <w:szCs w:val="48"/>
        </w:rPr>
      </w:pPr>
    </w:p>
    <w:p w14:paraId="332ABF48" w14:textId="7D20D6C3" w:rsidR="00B9071F" w:rsidRPr="00E53977" w:rsidRDefault="00B9071F" w:rsidP="002771FB">
      <w:pPr>
        <w:widowControl w:val="0"/>
        <w:spacing w:line="240" w:lineRule="auto"/>
        <w:jc w:val="center"/>
        <w:rPr>
          <w:rFonts w:ascii="Sylfaen" w:hAnsi="Sylfaen" w:cs="Times New Roman"/>
          <w:b/>
          <w:bCs/>
          <w:sz w:val="48"/>
          <w:szCs w:val="48"/>
        </w:rPr>
      </w:pPr>
      <w:r w:rsidRPr="00E53977">
        <w:rPr>
          <w:rFonts w:ascii="Sylfaen" w:hAnsi="Sylfaen" w:cs="Times New Roman"/>
          <w:b/>
          <w:bCs/>
          <w:sz w:val="48"/>
          <w:szCs w:val="48"/>
        </w:rPr>
        <w:t xml:space="preserve"> Assessment of the Government's Reform Efforts in 2017</w:t>
      </w:r>
    </w:p>
    <w:p w14:paraId="09F8ED4C" w14:textId="2835F42B" w:rsidR="00B9071F" w:rsidRPr="00E53977" w:rsidRDefault="003D0541" w:rsidP="002771FB">
      <w:pPr>
        <w:widowControl w:val="0"/>
        <w:spacing w:line="240" w:lineRule="auto"/>
        <w:jc w:val="center"/>
        <w:rPr>
          <w:rFonts w:ascii="Sylfaen" w:hAnsi="Sylfaen" w:cs="Times New Roman"/>
          <w:b/>
          <w:bCs/>
          <w:sz w:val="48"/>
          <w:szCs w:val="48"/>
        </w:rPr>
      </w:pPr>
      <w:r>
        <w:rPr>
          <w:rFonts w:ascii="Sylfaen" w:hAnsi="Sylfaen" w:cs="Times New Roman"/>
          <w:b/>
          <w:bCs/>
          <w:sz w:val="48"/>
          <w:szCs w:val="48"/>
        </w:rPr>
        <w:t>(Draft)</w:t>
      </w:r>
    </w:p>
    <w:p w14:paraId="69BE3E2B" w14:textId="0B76B4F7" w:rsidR="00B44D6E" w:rsidRDefault="00B44D6E">
      <w:pPr>
        <w:spacing w:after="160"/>
        <w:jc w:val="left"/>
        <w:rPr>
          <w:caps/>
        </w:rPr>
      </w:pPr>
      <w:bookmarkStart w:id="4" w:name="_Hlk478840251"/>
      <w:bookmarkEnd w:id="4"/>
    </w:p>
    <w:p w14:paraId="64092685" w14:textId="4E179E66" w:rsidR="00B44D6E" w:rsidRDefault="00B44D6E">
      <w:pPr>
        <w:spacing w:after="160"/>
        <w:jc w:val="left"/>
        <w:rPr>
          <w:caps/>
        </w:rPr>
      </w:pPr>
    </w:p>
    <w:p w14:paraId="7B247FF9" w14:textId="424E7A41" w:rsidR="00B44D6E" w:rsidRDefault="00B44D6E">
      <w:pPr>
        <w:spacing w:after="160"/>
        <w:jc w:val="left"/>
        <w:rPr>
          <w:caps/>
        </w:rPr>
      </w:pPr>
    </w:p>
    <w:p w14:paraId="57B4E0C2" w14:textId="511F67D0" w:rsidR="00B44D6E" w:rsidRDefault="00B44D6E">
      <w:pPr>
        <w:spacing w:after="160"/>
        <w:jc w:val="left"/>
        <w:rPr>
          <w:caps/>
        </w:rPr>
      </w:pPr>
    </w:p>
    <w:p w14:paraId="3CDE81A3" w14:textId="3F201358" w:rsidR="00B44D6E" w:rsidRDefault="00B44D6E">
      <w:pPr>
        <w:spacing w:after="160"/>
        <w:jc w:val="left"/>
        <w:rPr>
          <w:caps/>
        </w:rPr>
      </w:pPr>
    </w:p>
    <w:p w14:paraId="4C92FB99" w14:textId="3DCAF440" w:rsidR="00B44D6E" w:rsidRDefault="00B44D6E">
      <w:pPr>
        <w:spacing w:after="160"/>
        <w:jc w:val="left"/>
        <w:rPr>
          <w:caps/>
        </w:rPr>
      </w:pPr>
    </w:p>
    <w:p w14:paraId="2E0902A8" w14:textId="2AB7C4D8" w:rsidR="00B44D6E" w:rsidRDefault="00B44D6E">
      <w:pPr>
        <w:spacing w:after="160"/>
        <w:jc w:val="left"/>
        <w:rPr>
          <w:caps/>
        </w:rPr>
      </w:pPr>
    </w:p>
    <w:p w14:paraId="670755D4" w14:textId="1F748B2C" w:rsidR="00B44D6E" w:rsidRDefault="00B44D6E">
      <w:pPr>
        <w:spacing w:after="160"/>
        <w:jc w:val="left"/>
        <w:rPr>
          <w:caps/>
        </w:rPr>
      </w:pPr>
    </w:p>
    <w:p w14:paraId="550BD2B4" w14:textId="419F1450" w:rsidR="00B44D6E" w:rsidRDefault="00B44D6E">
      <w:pPr>
        <w:spacing w:after="160"/>
        <w:jc w:val="left"/>
        <w:rPr>
          <w:caps/>
        </w:rPr>
      </w:pPr>
    </w:p>
    <w:p w14:paraId="0EDB2180" w14:textId="07A0D637" w:rsidR="00B44D6E" w:rsidRDefault="00B44D6E">
      <w:pPr>
        <w:spacing w:after="160"/>
        <w:jc w:val="left"/>
        <w:rPr>
          <w:caps/>
        </w:rPr>
      </w:pPr>
    </w:p>
    <w:p w14:paraId="40469DA0" w14:textId="155EE4A8" w:rsidR="00B44D6E" w:rsidRDefault="00B44D6E" w:rsidP="00B44D6E">
      <w:pPr>
        <w:jc w:val="center"/>
      </w:pPr>
    </w:p>
    <w:p w14:paraId="023C4645" w14:textId="2CAB560A" w:rsidR="00B44D6E" w:rsidRDefault="00B44D6E" w:rsidP="00B44D6E">
      <w:pPr>
        <w:jc w:val="center"/>
      </w:pPr>
      <w:r>
        <w:t>Tbilisi, Georgia</w:t>
      </w:r>
    </w:p>
    <w:p w14:paraId="1CA85608" w14:textId="16F274BE" w:rsidR="00437EED" w:rsidRDefault="00B44D6E" w:rsidP="00B44D6E">
      <w:pPr>
        <w:jc w:val="center"/>
      </w:pPr>
      <w:r>
        <w:t>2018</w:t>
      </w:r>
    </w:p>
    <w:p w14:paraId="04AAE790" w14:textId="4D51B98B" w:rsidR="00437EED" w:rsidRDefault="00437EED">
      <w:pPr>
        <w:spacing w:after="160"/>
        <w:jc w:val="left"/>
      </w:pPr>
      <w:r>
        <w:br w:type="page"/>
      </w:r>
    </w:p>
    <w:p w14:paraId="43764798" w14:textId="5F3FBCCF" w:rsidR="00437EED" w:rsidRDefault="00437EED" w:rsidP="00B44D6E">
      <w:pPr>
        <w:jc w:val="center"/>
      </w:pPr>
    </w:p>
    <w:p w14:paraId="42DD5871" w14:textId="3DD20BF6" w:rsidR="00437EED" w:rsidRDefault="00437EED" w:rsidP="00437EED">
      <w:pPr>
        <w:spacing w:after="160"/>
        <w:jc w:val="left"/>
      </w:pPr>
    </w:p>
    <w:p w14:paraId="3E21C471" w14:textId="307A085B" w:rsidR="00437EED" w:rsidRDefault="00437EED" w:rsidP="00437EED">
      <w:pPr>
        <w:spacing w:after="160"/>
        <w:jc w:val="left"/>
      </w:pPr>
    </w:p>
    <w:p w14:paraId="549F54B6" w14:textId="7F81B928" w:rsidR="00437EED" w:rsidRDefault="00437EED" w:rsidP="00437EED">
      <w:pPr>
        <w:spacing w:after="160"/>
        <w:jc w:val="left"/>
      </w:pPr>
    </w:p>
    <w:p w14:paraId="2EA93B14" w14:textId="2D4C385F" w:rsidR="00437EED" w:rsidRDefault="00437EED" w:rsidP="00437EED">
      <w:pPr>
        <w:spacing w:after="160"/>
        <w:jc w:val="left"/>
      </w:pPr>
    </w:p>
    <w:p w14:paraId="601B60A3" w14:textId="15573C09" w:rsidR="00437EED" w:rsidRDefault="00437EED" w:rsidP="00437EED">
      <w:pPr>
        <w:spacing w:after="160"/>
        <w:jc w:val="left"/>
      </w:pPr>
    </w:p>
    <w:p w14:paraId="4EA6F18C" w14:textId="758D5E40" w:rsidR="00437EED" w:rsidRDefault="00437EED" w:rsidP="00437EED">
      <w:pPr>
        <w:spacing w:after="160"/>
        <w:jc w:val="left"/>
      </w:pPr>
    </w:p>
    <w:p w14:paraId="4B65A7A6" w14:textId="15DD6273" w:rsidR="00437EED" w:rsidRDefault="00437EED" w:rsidP="00437EED">
      <w:pPr>
        <w:spacing w:after="160"/>
        <w:jc w:val="left"/>
      </w:pPr>
    </w:p>
    <w:p w14:paraId="691692C4" w14:textId="220963DD" w:rsidR="00437EED" w:rsidRDefault="00437EED" w:rsidP="00437EED">
      <w:pPr>
        <w:spacing w:after="160"/>
        <w:jc w:val="left"/>
      </w:pPr>
    </w:p>
    <w:p w14:paraId="5D48D606" w14:textId="4E477B9F" w:rsidR="00437EED" w:rsidRDefault="00437EED" w:rsidP="00437EED">
      <w:pPr>
        <w:spacing w:after="160"/>
        <w:jc w:val="left"/>
      </w:pPr>
    </w:p>
    <w:p w14:paraId="275E5BA1" w14:textId="220E5918" w:rsidR="00437EED" w:rsidRDefault="00437EED" w:rsidP="00437EED">
      <w:pPr>
        <w:spacing w:after="160"/>
        <w:jc w:val="left"/>
      </w:pPr>
    </w:p>
    <w:p w14:paraId="35B4EEA1" w14:textId="0307DBBB" w:rsidR="00437EED" w:rsidRDefault="00437EED" w:rsidP="00437EED">
      <w:pPr>
        <w:spacing w:after="160"/>
        <w:jc w:val="left"/>
      </w:pPr>
    </w:p>
    <w:p w14:paraId="433B7147" w14:textId="6322A72B" w:rsidR="00437EED" w:rsidRDefault="00437EED" w:rsidP="00437EED">
      <w:pPr>
        <w:spacing w:after="160"/>
        <w:jc w:val="left"/>
      </w:pPr>
    </w:p>
    <w:p w14:paraId="695745E7" w14:textId="40077EE1" w:rsidR="00437EED" w:rsidRDefault="00437EED" w:rsidP="00437EED">
      <w:pPr>
        <w:spacing w:after="160"/>
        <w:jc w:val="left"/>
      </w:pPr>
    </w:p>
    <w:p w14:paraId="2811EEEC" w14:textId="17054B29" w:rsidR="00437EED" w:rsidRDefault="00437EED" w:rsidP="00437EED">
      <w:pPr>
        <w:spacing w:after="160"/>
        <w:jc w:val="left"/>
      </w:pPr>
    </w:p>
    <w:p w14:paraId="2765FAC4" w14:textId="0E51E8CE" w:rsidR="00437EED" w:rsidRDefault="00437EED" w:rsidP="00437EED">
      <w:pPr>
        <w:spacing w:after="160"/>
        <w:jc w:val="left"/>
      </w:pPr>
    </w:p>
    <w:p w14:paraId="494F88E9" w14:textId="17D1DC67" w:rsidR="00437EED" w:rsidRDefault="00437EED" w:rsidP="00437EED">
      <w:pPr>
        <w:pStyle w:val="Default"/>
        <w:jc w:val="both"/>
        <w:rPr>
          <w:rFonts w:ascii="Times New Roman" w:hAnsi="Times New Roman" w:cs="Times New Roman"/>
        </w:rPr>
      </w:pPr>
      <w:r w:rsidRPr="007F0D69">
        <w:rPr>
          <w:rFonts w:ascii="Times New Roman" w:hAnsi="Times New Roman" w:cs="Times New Roman"/>
        </w:rPr>
        <w:t xml:space="preserve">The assessment was commissioned by Europe Foundation (EPF) as part of its European Integration Program, which aims at contributing to participatory decision making to achieve convergence to European values, standards, and practices. It has been generously supported by the Swedish International Development Cooperation Agency (Sida).  The views and opinions of the authors expressed herein do not necessarily reflect those of EPF or Sida. </w:t>
      </w:r>
    </w:p>
    <w:p w14:paraId="0B4433FB" w14:textId="6E073CD5" w:rsidR="00437EED" w:rsidRDefault="00437EED" w:rsidP="00437EED">
      <w:pPr>
        <w:pStyle w:val="Default"/>
        <w:jc w:val="both"/>
        <w:rPr>
          <w:rFonts w:ascii="Times New Roman" w:hAnsi="Times New Roman" w:cs="Times New Roman"/>
        </w:rPr>
      </w:pPr>
    </w:p>
    <w:p w14:paraId="528AD5C9" w14:textId="19B416ED" w:rsidR="00437EED" w:rsidRDefault="004601B5" w:rsidP="00437EED">
      <w:pPr>
        <w:pStyle w:val="Default"/>
        <w:jc w:val="both"/>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0" locked="0" layoutInCell="1" allowOverlap="1" wp14:anchorId="24DA2D94" wp14:editId="751EBA9C">
            <wp:simplePos x="0" y="0"/>
            <wp:positionH relativeFrom="margin">
              <wp:posOffset>2068195</wp:posOffset>
            </wp:positionH>
            <wp:positionV relativeFrom="margin">
              <wp:posOffset>5790127</wp:posOffset>
            </wp:positionV>
            <wp:extent cx="1025718" cy="921848"/>
            <wp:effectExtent l="0" t="0" r="3175"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PF New ENG - Copy.jpg"/>
                    <pic:cNvPicPr/>
                  </pic:nvPicPr>
                  <pic:blipFill>
                    <a:blip r:embed="rId8">
                      <a:extLst>
                        <a:ext uri="{28A0092B-C50C-407E-A947-70E740481C1C}">
                          <a14:useLocalDpi xmlns:a14="http://schemas.microsoft.com/office/drawing/2010/main" val="0"/>
                        </a:ext>
                      </a:extLst>
                    </a:blip>
                    <a:stretch>
                      <a:fillRect/>
                    </a:stretch>
                  </pic:blipFill>
                  <pic:spPr>
                    <a:xfrm>
                      <a:off x="0" y="0"/>
                      <a:ext cx="1025718" cy="921848"/>
                    </a:xfrm>
                    <a:prstGeom prst="rect">
                      <a:avLst/>
                    </a:prstGeom>
                  </pic:spPr>
                </pic:pic>
              </a:graphicData>
            </a:graphic>
          </wp:anchor>
        </w:drawing>
      </w:r>
    </w:p>
    <w:p w14:paraId="3338634D" w14:textId="1696291E" w:rsidR="00437EED" w:rsidRDefault="00437EED" w:rsidP="00437EED">
      <w:pPr>
        <w:pStyle w:val="Default"/>
        <w:jc w:val="both"/>
        <w:rPr>
          <w:rFonts w:ascii="Times New Roman" w:hAnsi="Times New Roman" w:cs="Times New Roman"/>
        </w:rPr>
      </w:pPr>
    </w:p>
    <w:p w14:paraId="15464E4D" w14:textId="5890503C" w:rsidR="00437EED" w:rsidRDefault="00437EED" w:rsidP="00437EED">
      <w:pPr>
        <w:pStyle w:val="Default"/>
        <w:jc w:val="both"/>
        <w:rPr>
          <w:rFonts w:ascii="Times New Roman" w:hAnsi="Times New Roman" w:cs="Times New Roman"/>
        </w:rPr>
      </w:pPr>
    </w:p>
    <w:p w14:paraId="4536A4D5" w14:textId="66306613" w:rsidR="00437EED" w:rsidRDefault="00437EED" w:rsidP="00437EED">
      <w:pPr>
        <w:pStyle w:val="Default"/>
        <w:jc w:val="both"/>
        <w:rPr>
          <w:rFonts w:ascii="Times New Roman" w:hAnsi="Times New Roman" w:cs="Times New Roman"/>
        </w:rPr>
      </w:pPr>
    </w:p>
    <w:p w14:paraId="5C5E5672" w14:textId="384AD971" w:rsidR="00437EED" w:rsidRDefault="00437EED" w:rsidP="00437EED">
      <w:pPr>
        <w:pStyle w:val="Default"/>
        <w:jc w:val="both"/>
        <w:rPr>
          <w:rFonts w:ascii="Times New Roman" w:hAnsi="Times New Roman" w:cs="Times New Roman"/>
        </w:rPr>
      </w:pPr>
    </w:p>
    <w:p w14:paraId="2A272FCD" w14:textId="530877B8" w:rsidR="00437EED" w:rsidRDefault="00437EED" w:rsidP="00437EED">
      <w:pPr>
        <w:pStyle w:val="Default"/>
        <w:jc w:val="both"/>
        <w:rPr>
          <w:rFonts w:ascii="Times New Roman" w:hAnsi="Times New Roman" w:cs="Times New Roman"/>
        </w:rPr>
      </w:pPr>
    </w:p>
    <w:p w14:paraId="0D018CC4" w14:textId="7DA05068" w:rsidR="00437EED" w:rsidRDefault="00437EED" w:rsidP="00437EED">
      <w:pPr>
        <w:autoSpaceDE w:val="0"/>
        <w:autoSpaceDN w:val="0"/>
        <w:adjustRightInd w:val="0"/>
        <w:spacing w:after="0" w:line="240" w:lineRule="auto"/>
        <w:jc w:val="center"/>
        <w:rPr>
          <w:rFonts w:cs="Times New Roman"/>
          <w:color w:val="000000"/>
          <w:szCs w:val="24"/>
        </w:rPr>
      </w:pPr>
    </w:p>
    <w:p w14:paraId="0F820250" w14:textId="77777777" w:rsidR="00437EED" w:rsidRDefault="00437EED" w:rsidP="00437EED">
      <w:pPr>
        <w:autoSpaceDE w:val="0"/>
        <w:autoSpaceDN w:val="0"/>
        <w:adjustRightInd w:val="0"/>
        <w:spacing w:after="0" w:line="240" w:lineRule="auto"/>
        <w:jc w:val="center"/>
        <w:rPr>
          <w:rFonts w:cs="Times New Roman"/>
          <w:color w:val="000000"/>
          <w:szCs w:val="24"/>
        </w:rPr>
      </w:pPr>
    </w:p>
    <w:p w14:paraId="099F7901" w14:textId="11B5122F" w:rsidR="00437EED" w:rsidRPr="00527415" w:rsidRDefault="00437EED" w:rsidP="00437EED">
      <w:pPr>
        <w:autoSpaceDE w:val="0"/>
        <w:autoSpaceDN w:val="0"/>
        <w:adjustRightInd w:val="0"/>
        <w:spacing w:after="0" w:line="240" w:lineRule="auto"/>
        <w:jc w:val="center"/>
        <w:rPr>
          <w:rFonts w:cs="Times New Roman"/>
          <w:color w:val="000000"/>
          <w:szCs w:val="24"/>
        </w:rPr>
      </w:pPr>
      <w:r w:rsidRPr="00527415">
        <w:rPr>
          <w:rFonts w:cs="Times New Roman"/>
          <w:color w:val="000000"/>
          <w:szCs w:val="24"/>
        </w:rPr>
        <w:t>All rights are reserved and belong to Europe Foundation</w:t>
      </w:r>
    </w:p>
    <w:p w14:paraId="45F1C8D8" w14:textId="66AE254B" w:rsidR="00437EED" w:rsidRPr="00527415" w:rsidRDefault="00437EED" w:rsidP="00437EED">
      <w:pPr>
        <w:jc w:val="center"/>
        <w:rPr>
          <w:rFonts w:cs="Times New Roman"/>
          <w:color w:val="000000"/>
          <w:szCs w:val="24"/>
        </w:rPr>
      </w:pPr>
      <w:r w:rsidRPr="00527415">
        <w:rPr>
          <w:rFonts w:cs="Times New Roman"/>
          <w:color w:val="000000"/>
          <w:szCs w:val="24"/>
        </w:rPr>
        <w:t>Copyright © Europe Foundation, 2017</w:t>
      </w:r>
    </w:p>
    <w:p w14:paraId="775CD1C4" w14:textId="131417B6" w:rsidR="00437EED" w:rsidRDefault="00B25724" w:rsidP="00437EED">
      <w:pPr>
        <w:spacing w:after="160"/>
        <w:jc w:val="left"/>
      </w:pPr>
      <w:r>
        <w:rPr>
          <w:noProof/>
        </w:rPr>
        <mc:AlternateContent>
          <mc:Choice Requires="wpg">
            <w:drawing>
              <wp:anchor distT="0" distB="0" distL="114300" distR="114300" simplePos="0" relativeHeight="251667456" behindDoc="0" locked="0" layoutInCell="1" allowOverlap="1" wp14:anchorId="575843B3" wp14:editId="0188724E">
                <wp:simplePos x="0" y="0"/>
                <wp:positionH relativeFrom="column">
                  <wp:posOffset>-265772</wp:posOffset>
                </wp:positionH>
                <wp:positionV relativeFrom="paragraph">
                  <wp:posOffset>250190</wp:posOffset>
                </wp:positionV>
                <wp:extent cx="6251554" cy="108966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6251554" cy="1089660"/>
                          <a:chOff x="0" y="0"/>
                          <a:chExt cx="6251554" cy="1089660"/>
                        </a:xfrm>
                      </wpg:grpSpPr>
                      <pic:pic xmlns:pic="http://schemas.openxmlformats.org/drawingml/2006/picture">
                        <pic:nvPicPr>
                          <pic:cNvPr id="37" name="Picture 3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8870" cy="1089660"/>
                          </a:xfrm>
                          <a:prstGeom prst="rect">
                            <a:avLst/>
                          </a:prstGeom>
                        </pic:spPr>
                      </pic:pic>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466194" y="441435"/>
                            <a:ext cx="4785360" cy="642620"/>
                          </a:xfrm>
                          <a:prstGeom prst="rect">
                            <a:avLst/>
                          </a:prstGeom>
                        </pic:spPr>
                      </pic:pic>
                    </wpg:wgp>
                  </a:graphicData>
                </a:graphic>
              </wp:anchor>
            </w:drawing>
          </mc:Choice>
          <mc:Fallback>
            <w:pict>
              <v:group w14:anchorId="33026A10" id="Group 5" o:spid="_x0000_s1026" style="position:absolute;margin-left:-20.95pt;margin-top:19.7pt;width:492.25pt;height:85.8pt;z-index:251667456" coordsize="62515,108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7" type="#_x0000_t75" style="position:absolute;width:11188;height:10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">
                  <v:imagedata r:id="rId11" o:title=""/>
                </v:shape>
                <v:shape id="Picture 2" o:spid="_x0000_s1028" type="#_x0000_t75" style="position:absolute;left:14661;top:4414;width:47854;height:6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">
                  <v:imagedata r:id="rId12" o:title=""/>
                </v:shape>
                <w10:wrap type="square"/>
              </v:group>
            </w:pict>
          </mc:Fallback>
        </mc:AlternateContent>
      </w:r>
    </w:p>
    <w:sdt>
      <w:sdtPr>
        <w:rPr>
          <w:rFonts w:ascii="Times New Roman" w:eastAsiaTheme="minorHAnsi" w:hAnsi="Times New Roman" w:cstheme="minorBidi"/>
          <w:caps w:val="0"/>
          <w:color w:val="auto"/>
          <w:sz w:val="24"/>
          <w:szCs w:val="22"/>
        </w:rPr>
        <w:id w:val="-1749879567"/>
        <w:docPartObj>
          <w:docPartGallery w:val="Table of Contents"/>
          <w:docPartUnique/>
        </w:docPartObj>
      </w:sdtPr>
      <w:sdtEndPr>
        <w:rPr>
          <w:b/>
          <w:bCs/>
        </w:rPr>
      </w:sdtEndPr>
      <w:sdtContent>
        <w:p w14:paraId="776E6D97" w14:textId="53FB3920" w:rsidR="00B9071F" w:rsidRPr="00E53977" w:rsidRDefault="00B9071F" w:rsidP="002771FB">
          <w:pPr>
            <w:pStyle w:val="TOCHeading"/>
            <w:widowControl w:val="0"/>
            <w:spacing w:before="0" w:line="240" w:lineRule="auto"/>
            <w:rPr>
              <w:rFonts w:ascii="Times New Roman" w:hAnsi="Times New Roman" w:cs="Times New Roman"/>
              <w:b/>
              <w:sz w:val="28"/>
            </w:rPr>
          </w:pPr>
          <w:r w:rsidRPr="00E53977">
            <w:rPr>
              <w:rFonts w:ascii="Times New Roman" w:hAnsi="Times New Roman" w:cs="Times New Roman"/>
              <w:b/>
              <w:sz w:val="28"/>
            </w:rPr>
            <w:t>Contents</w:t>
          </w:r>
        </w:p>
        <w:p w14:paraId="0A8E978A" w14:textId="25CD820C" w:rsidR="00816824" w:rsidRDefault="00B9071F" w:rsidP="00816824">
          <w:pPr>
            <w:pStyle w:val="TOC1"/>
            <w:spacing w:after="40"/>
            <w:rPr>
              <w:rFonts w:asciiTheme="minorHAnsi" w:eastAsiaTheme="minorEastAsia" w:hAnsiTheme="minorHAnsi"/>
              <w:noProof/>
              <w:sz w:val="22"/>
            </w:rPr>
          </w:pPr>
          <w:r w:rsidRPr="00E53977">
            <w:fldChar w:fldCharType="begin"/>
          </w:r>
          <w:r w:rsidRPr="00E53977">
            <w:instrText xml:space="preserve"> TOC \o "1-2" \h \z \u </w:instrText>
          </w:r>
          <w:r w:rsidRPr="00E53977">
            <w:fldChar w:fldCharType="separate"/>
          </w:r>
          <w:hyperlink w:anchor="_Toc520906358" w:history="1">
            <w:r w:rsidR="00816824" w:rsidRPr="00C70558">
              <w:rPr>
                <w:rStyle w:val="Hyperlink"/>
                <w:noProof/>
              </w:rPr>
              <w:t>EXECUTIVE SUMMARY</w:t>
            </w:r>
            <w:r w:rsidR="00816824">
              <w:rPr>
                <w:noProof/>
                <w:webHidden/>
              </w:rPr>
              <w:tab/>
            </w:r>
            <w:r w:rsidR="00816824">
              <w:rPr>
                <w:noProof/>
                <w:webHidden/>
              </w:rPr>
              <w:fldChar w:fldCharType="begin"/>
            </w:r>
            <w:r w:rsidR="00816824">
              <w:rPr>
                <w:noProof/>
                <w:webHidden/>
              </w:rPr>
              <w:instrText xml:space="preserve"> PAGEREF _Toc520906358 \h </w:instrText>
            </w:r>
            <w:r w:rsidR="00816824">
              <w:rPr>
                <w:noProof/>
                <w:webHidden/>
              </w:rPr>
            </w:r>
            <w:r w:rsidR="00816824">
              <w:rPr>
                <w:noProof/>
                <w:webHidden/>
              </w:rPr>
              <w:fldChar w:fldCharType="separate"/>
            </w:r>
            <w:r w:rsidR="00DD7AFE">
              <w:rPr>
                <w:noProof/>
                <w:webHidden/>
              </w:rPr>
              <w:t>5</w:t>
            </w:r>
            <w:r w:rsidR="00816824">
              <w:rPr>
                <w:noProof/>
                <w:webHidden/>
              </w:rPr>
              <w:fldChar w:fldCharType="end"/>
            </w:r>
          </w:hyperlink>
        </w:p>
        <w:p w14:paraId="1B584740" w14:textId="7D01A881" w:rsidR="00816824" w:rsidRDefault="00752F94" w:rsidP="00816824">
          <w:pPr>
            <w:pStyle w:val="TOC1"/>
            <w:spacing w:after="40"/>
            <w:rPr>
              <w:rFonts w:asciiTheme="minorHAnsi" w:eastAsiaTheme="minorEastAsia" w:hAnsiTheme="minorHAnsi"/>
              <w:noProof/>
              <w:sz w:val="22"/>
            </w:rPr>
          </w:pPr>
          <w:hyperlink w:anchor="_Toc520906359" w:history="1">
            <w:r w:rsidR="00816824" w:rsidRPr="00C70558">
              <w:rPr>
                <w:rStyle w:val="Hyperlink"/>
                <w:noProof/>
              </w:rPr>
              <w:t>INTRODUCTION</w:t>
            </w:r>
            <w:r w:rsidR="00816824">
              <w:rPr>
                <w:noProof/>
                <w:webHidden/>
              </w:rPr>
              <w:tab/>
            </w:r>
            <w:r w:rsidR="00816824">
              <w:rPr>
                <w:noProof/>
                <w:webHidden/>
              </w:rPr>
              <w:fldChar w:fldCharType="begin"/>
            </w:r>
            <w:r w:rsidR="00816824">
              <w:rPr>
                <w:noProof/>
                <w:webHidden/>
              </w:rPr>
              <w:instrText xml:space="preserve"> PAGEREF _Toc520906359 \h </w:instrText>
            </w:r>
            <w:r w:rsidR="00816824">
              <w:rPr>
                <w:noProof/>
                <w:webHidden/>
              </w:rPr>
            </w:r>
            <w:r w:rsidR="00816824">
              <w:rPr>
                <w:noProof/>
                <w:webHidden/>
              </w:rPr>
              <w:fldChar w:fldCharType="separate"/>
            </w:r>
            <w:r w:rsidR="00DD7AFE">
              <w:rPr>
                <w:noProof/>
                <w:webHidden/>
              </w:rPr>
              <w:t>9</w:t>
            </w:r>
            <w:r w:rsidR="00816824">
              <w:rPr>
                <w:noProof/>
                <w:webHidden/>
              </w:rPr>
              <w:fldChar w:fldCharType="end"/>
            </w:r>
          </w:hyperlink>
        </w:p>
        <w:p w14:paraId="24B22BFB" w14:textId="787695B8"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60" w:history="1">
            <w:r w:rsidR="00816824" w:rsidRPr="00C70558">
              <w:rPr>
                <w:rStyle w:val="Hyperlink"/>
                <w:noProof/>
              </w:rPr>
              <w:t>A.</w:t>
            </w:r>
            <w:r w:rsidR="00816824">
              <w:rPr>
                <w:rFonts w:asciiTheme="minorHAnsi" w:eastAsiaTheme="minorEastAsia" w:hAnsiTheme="minorHAnsi"/>
                <w:noProof/>
                <w:sz w:val="22"/>
              </w:rPr>
              <w:tab/>
            </w:r>
            <w:r w:rsidR="00816824" w:rsidRPr="00C70558">
              <w:rPr>
                <w:rStyle w:val="Hyperlink"/>
                <w:noProof/>
              </w:rPr>
              <w:t>Institutional Context</w:t>
            </w:r>
            <w:r w:rsidR="00816824">
              <w:rPr>
                <w:noProof/>
                <w:webHidden/>
              </w:rPr>
              <w:tab/>
            </w:r>
            <w:r w:rsidR="00816824">
              <w:rPr>
                <w:noProof/>
                <w:webHidden/>
              </w:rPr>
              <w:fldChar w:fldCharType="begin"/>
            </w:r>
            <w:r w:rsidR="00816824">
              <w:rPr>
                <w:noProof/>
                <w:webHidden/>
              </w:rPr>
              <w:instrText xml:space="preserve"> PAGEREF _Toc520906360 \h </w:instrText>
            </w:r>
            <w:r w:rsidR="00816824">
              <w:rPr>
                <w:noProof/>
                <w:webHidden/>
              </w:rPr>
            </w:r>
            <w:r w:rsidR="00816824">
              <w:rPr>
                <w:noProof/>
                <w:webHidden/>
              </w:rPr>
              <w:fldChar w:fldCharType="separate"/>
            </w:r>
            <w:r w:rsidR="00DD7AFE">
              <w:rPr>
                <w:noProof/>
                <w:webHidden/>
              </w:rPr>
              <w:t>9</w:t>
            </w:r>
            <w:r w:rsidR="00816824">
              <w:rPr>
                <w:noProof/>
                <w:webHidden/>
              </w:rPr>
              <w:fldChar w:fldCharType="end"/>
            </w:r>
          </w:hyperlink>
        </w:p>
        <w:p w14:paraId="624E0BD5" w14:textId="46F14DC4"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61" w:history="1">
            <w:r w:rsidR="00816824" w:rsidRPr="00C70558">
              <w:rPr>
                <w:rStyle w:val="Hyperlink"/>
                <w:noProof/>
              </w:rPr>
              <w:t>B.</w:t>
            </w:r>
            <w:r w:rsidR="00816824">
              <w:rPr>
                <w:rFonts w:asciiTheme="minorHAnsi" w:eastAsiaTheme="minorEastAsia" w:hAnsiTheme="minorHAnsi"/>
                <w:noProof/>
                <w:sz w:val="22"/>
              </w:rPr>
              <w:tab/>
            </w:r>
            <w:r w:rsidR="00816824" w:rsidRPr="00C70558">
              <w:rPr>
                <w:rStyle w:val="Hyperlink"/>
                <w:noProof/>
              </w:rPr>
              <w:t>Institutional Development Since 2005</w:t>
            </w:r>
            <w:r w:rsidR="00816824">
              <w:rPr>
                <w:noProof/>
                <w:webHidden/>
              </w:rPr>
              <w:tab/>
            </w:r>
            <w:r w:rsidR="00816824">
              <w:rPr>
                <w:noProof/>
                <w:webHidden/>
              </w:rPr>
              <w:fldChar w:fldCharType="begin"/>
            </w:r>
            <w:r w:rsidR="00816824">
              <w:rPr>
                <w:noProof/>
                <w:webHidden/>
              </w:rPr>
              <w:instrText xml:space="preserve"> PAGEREF _Toc520906361 \h </w:instrText>
            </w:r>
            <w:r w:rsidR="00816824">
              <w:rPr>
                <w:noProof/>
                <w:webHidden/>
              </w:rPr>
            </w:r>
            <w:r w:rsidR="00816824">
              <w:rPr>
                <w:noProof/>
                <w:webHidden/>
              </w:rPr>
              <w:fldChar w:fldCharType="separate"/>
            </w:r>
            <w:r w:rsidR="00DD7AFE">
              <w:rPr>
                <w:noProof/>
                <w:webHidden/>
              </w:rPr>
              <w:t>10</w:t>
            </w:r>
            <w:r w:rsidR="00816824">
              <w:rPr>
                <w:noProof/>
                <w:webHidden/>
              </w:rPr>
              <w:fldChar w:fldCharType="end"/>
            </w:r>
          </w:hyperlink>
        </w:p>
        <w:p w14:paraId="6728C770" w14:textId="079A3F28"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62" w:history="1">
            <w:r w:rsidR="00816824" w:rsidRPr="00C70558">
              <w:rPr>
                <w:rStyle w:val="Hyperlink"/>
                <w:noProof/>
              </w:rPr>
              <w:t>C.</w:t>
            </w:r>
            <w:r w:rsidR="00816824">
              <w:rPr>
                <w:rFonts w:asciiTheme="minorHAnsi" w:eastAsiaTheme="minorEastAsia" w:hAnsiTheme="minorHAnsi"/>
                <w:noProof/>
                <w:sz w:val="22"/>
              </w:rPr>
              <w:tab/>
            </w:r>
            <w:r w:rsidR="00816824" w:rsidRPr="00C70558">
              <w:rPr>
                <w:rStyle w:val="Hyperlink"/>
                <w:noProof/>
              </w:rPr>
              <w:t>Assessment Methodology</w:t>
            </w:r>
            <w:r w:rsidR="00816824">
              <w:rPr>
                <w:noProof/>
                <w:webHidden/>
              </w:rPr>
              <w:tab/>
            </w:r>
            <w:r w:rsidR="00816824">
              <w:rPr>
                <w:noProof/>
                <w:webHidden/>
              </w:rPr>
              <w:fldChar w:fldCharType="begin"/>
            </w:r>
            <w:r w:rsidR="00816824">
              <w:rPr>
                <w:noProof/>
                <w:webHidden/>
              </w:rPr>
              <w:instrText xml:space="preserve"> PAGEREF _Toc520906362 \h </w:instrText>
            </w:r>
            <w:r w:rsidR="00816824">
              <w:rPr>
                <w:noProof/>
                <w:webHidden/>
              </w:rPr>
            </w:r>
            <w:r w:rsidR="00816824">
              <w:rPr>
                <w:noProof/>
                <w:webHidden/>
              </w:rPr>
              <w:fldChar w:fldCharType="separate"/>
            </w:r>
            <w:r w:rsidR="00DD7AFE">
              <w:rPr>
                <w:noProof/>
                <w:webHidden/>
              </w:rPr>
              <w:t>11</w:t>
            </w:r>
            <w:r w:rsidR="00816824">
              <w:rPr>
                <w:noProof/>
                <w:webHidden/>
              </w:rPr>
              <w:fldChar w:fldCharType="end"/>
            </w:r>
          </w:hyperlink>
        </w:p>
        <w:p w14:paraId="22780475" w14:textId="13A55F96" w:rsidR="00816824" w:rsidRDefault="00752F94" w:rsidP="00816824">
          <w:pPr>
            <w:pStyle w:val="TOC1"/>
            <w:spacing w:after="40"/>
            <w:rPr>
              <w:rFonts w:asciiTheme="minorHAnsi" w:eastAsiaTheme="minorEastAsia" w:hAnsiTheme="minorHAnsi"/>
              <w:noProof/>
              <w:sz w:val="22"/>
            </w:rPr>
          </w:pPr>
          <w:hyperlink w:anchor="_Toc520906363" w:history="1">
            <w:r w:rsidR="00816824" w:rsidRPr="00C70558">
              <w:rPr>
                <w:rStyle w:val="Hyperlink"/>
                <w:noProof/>
              </w:rPr>
              <w:t>LEGISLATION AND STATE POLICY</w:t>
            </w:r>
            <w:r w:rsidR="00816824">
              <w:rPr>
                <w:noProof/>
                <w:webHidden/>
              </w:rPr>
              <w:tab/>
            </w:r>
            <w:r w:rsidR="00816824">
              <w:rPr>
                <w:noProof/>
                <w:webHidden/>
              </w:rPr>
              <w:fldChar w:fldCharType="begin"/>
            </w:r>
            <w:r w:rsidR="00816824">
              <w:rPr>
                <w:noProof/>
                <w:webHidden/>
              </w:rPr>
              <w:instrText xml:space="preserve"> PAGEREF _Toc520906363 \h </w:instrText>
            </w:r>
            <w:r w:rsidR="00816824">
              <w:rPr>
                <w:noProof/>
                <w:webHidden/>
              </w:rPr>
            </w:r>
            <w:r w:rsidR="00816824">
              <w:rPr>
                <w:noProof/>
                <w:webHidden/>
              </w:rPr>
              <w:fldChar w:fldCharType="separate"/>
            </w:r>
            <w:r w:rsidR="00DD7AFE">
              <w:rPr>
                <w:noProof/>
                <w:webHidden/>
              </w:rPr>
              <w:t>12</w:t>
            </w:r>
            <w:r w:rsidR="00816824">
              <w:rPr>
                <w:noProof/>
                <w:webHidden/>
              </w:rPr>
              <w:fldChar w:fldCharType="end"/>
            </w:r>
          </w:hyperlink>
        </w:p>
        <w:p w14:paraId="714FBE23" w14:textId="17DDC686"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64" w:history="1">
            <w:r w:rsidR="00816824" w:rsidRPr="00C70558">
              <w:rPr>
                <w:rStyle w:val="Hyperlink"/>
                <w:noProof/>
              </w:rPr>
              <w:t>A.</w:t>
            </w:r>
            <w:r w:rsidR="00816824">
              <w:rPr>
                <w:rFonts w:asciiTheme="minorHAnsi" w:eastAsiaTheme="minorEastAsia" w:hAnsiTheme="minorHAnsi"/>
                <w:noProof/>
                <w:sz w:val="22"/>
              </w:rPr>
              <w:tab/>
            </w:r>
            <w:r w:rsidR="00816824" w:rsidRPr="00C70558">
              <w:rPr>
                <w:rStyle w:val="Hyperlink"/>
                <w:noProof/>
              </w:rPr>
              <w:t>Approximation of Georgian Legislation with EU Legislation</w:t>
            </w:r>
            <w:r w:rsidR="00816824">
              <w:rPr>
                <w:noProof/>
                <w:webHidden/>
              </w:rPr>
              <w:tab/>
            </w:r>
            <w:r w:rsidR="00816824">
              <w:rPr>
                <w:noProof/>
                <w:webHidden/>
              </w:rPr>
              <w:fldChar w:fldCharType="begin"/>
            </w:r>
            <w:r w:rsidR="00816824">
              <w:rPr>
                <w:noProof/>
                <w:webHidden/>
              </w:rPr>
              <w:instrText xml:space="preserve"> PAGEREF _Toc520906364 \h </w:instrText>
            </w:r>
            <w:r w:rsidR="00816824">
              <w:rPr>
                <w:noProof/>
                <w:webHidden/>
              </w:rPr>
            </w:r>
            <w:r w:rsidR="00816824">
              <w:rPr>
                <w:noProof/>
                <w:webHidden/>
              </w:rPr>
              <w:fldChar w:fldCharType="separate"/>
            </w:r>
            <w:r w:rsidR="00DD7AFE">
              <w:rPr>
                <w:noProof/>
                <w:webHidden/>
              </w:rPr>
              <w:t>12</w:t>
            </w:r>
            <w:r w:rsidR="00816824">
              <w:rPr>
                <w:noProof/>
                <w:webHidden/>
              </w:rPr>
              <w:fldChar w:fldCharType="end"/>
            </w:r>
          </w:hyperlink>
        </w:p>
        <w:p w14:paraId="1B3E496A" w14:textId="0644AAD8" w:rsidR="00816824" w:rsidRDefault="00752F94" w:rsidP="00816824">
          <w:pPr>
            <w:pStyle w:val="TOC1"/>
            <w:spacing w:after="40"/>
            <w:rPr>
              <w:rFonts w:asciiTheme="minorHAnsi" w:eastAsiaTheme="minorEastAsia" w:hAnsiTheme="minorHAnsi"/>
              <w:noProof/>
              <w:sz w:val="22"/>
            </w:rPr>
          </w:pPr>
          <w:hyperlink w:anchor="_Toc520906365" w:history="1">
            <w:r w:rsidR="00816824" w:rsidRPr="00C70558">
              <w:rPr>
                <w:rStyle w:val="Hyperlink"/>
                <w:noProof/>
              </w:rPr>
              <w:t>INSTITUTIONAL REFORM AND DEVELOPMENT</w:t>
            </w:r>
            <w:r w:rsidR="00816824">
              <w:rPr>
                <w:noProof/>
                <w:webHidden/>
              </w:rPr>
              <w:tab/>
            </w:r>
            <w:r w:rsidR="00816824">
              <w:rPr>
                <w:noProof/>
                <w:webHidden/>
              </w:rPr>
              <w:fldChar w:fldCharType="begin"/>
            </w:r>
            <w:r w:rsidR="00816824">
              <w:rPr>
                <w:noProof/>
                <w:webHidden/>
              </w:rPr>
              <w:instrText xml:space="preserve"> PAGEREF _Toc520906365 \h </w:instrText>
            </w:r>
            <w:r w:rsidR="00816824">
              <w:rPr>
                <w:noProof/>
                <w:webHidden/>
              </w:rPr>
            </w:r>
            <w:r w:rsidR="00816824">
              <w:rPr>
                <w:noProof/>
                <w:webHidden/>
              </w:rPr>
              <w:fldChar w:fldCharType="separate"/>
            </w:r>
            <w:r w:rsidR="00DD7AFE">
              <w:rPr>
                <w:noProof/>
                <w:webHidden/>
              </w:rPr>
              <w:t>14</w:t>
            </w:r>
            <w:r w:rsidR="00816824">
              <w:rPr>
                <w:noProof/>
                <w:webHidden/>
              </w:rPr>
              <w:fldChar w:fldCharType="end"/>
            </w:r>
          </w:hyperlink>
        </w:p>
        <w:p w14:paraId="3F93355C" w14:textId="1FA12FA8"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66" w:history="1">
            <w:r w:rsidR="00816824" w:rsidRPr="00C70558">
              <w:rPr>
                <w:rStyle w:val="Hyperlink"/>
                <w:noProof/>
              </w:rPr>
              <w:t>A.</w:t>
            </w:r>
            <w:r w:rsidR="00816824">
              <w:rPr>
                <w:rFonts w:asciiTheme="minorHAnsi" w:eastAsiaTheme="minorEastAsia" w:hAnsiTheme="minorHAnsi"/>
                <w:noProof/>
                <w:sz w:val="22"/>
              </w:rPr>
              <w:tab/>
            </w:r>
            <w:r w:rsidR="00816824" w:rsidRPr="00C70558">
              <w:rPr>
                <w:rStyle w:val="Hyperlink"/>
                <w:noProof/>
              </w:rPr>
              <w:t>Institutional Reform and Capacity Development</w:t>
            </w:r>
            <w:r w:rsidR="00816824">
              <w:rPr>
                <w:noProof/>
                <w:webHidden/>
              </w:rPr>
              <w:tab/>
            </w:r>
            <w:r w:rsidR="00816824">
              <w:rPr>
                <w:noProof/>
                <w:webHidden/>
              </w:rPr>
              <w:fldChar w:fldCharType="begin"/>
            </w:r>
            <w:r w:rsidR="00816824">
              <w:rPr>
                <w:noProof/>
                <w:webHidden/>
              </w:rPr>
              <w:instrText xml:space="preserve"> PAGEREF _Toc520906366 \h </w:instrText>
            </w:r>
            <w:r w:rsidR="00816824">
              <w:rPr>
                <w:noProof/>
                <w:webHidden/>
              </w:rPr>
            </w:r>
            <w:r w:rsidR="00816824">
              <w:rPr>
                <w:noProof/>
                <w:webHidden/>
              </w:rPr>
              <w:fldChar w:fldCharType="separate"/>
            </w:r>
            <w:r w:rsidR="00DD7AFE">
              <w:rPr>
                <w:noProof/>
                <w:webHidden/>
              </w:rPr>
              <w:t>14</w:t>
            </w:r>
            <w:r w:rsidR="00816824">
              <w:rPr>
                <w:noProof/>
                <w:webHidden/>
              </w:rPr>
              <w:fldChar w:fldCharType="end"/>
            </w:r>
          </w:hyperlink>
        </w:p>
        <w:p w14:paraId="0D72D9B3" w14:textId="7ECDC39A"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67" w:history="1">
            <w:r w:rsidR="00816824" w:rsidRPr="00C70558">
              <w:rPr>
                <w:rStyle w:val="Hyperlink"/>
                <w:noProof/>
              </w:rPr>
              <w:t>B.</w:t>
            </w:r>
            <w:r w:rsidR="00816824">
              <w:rPr>
                <w:rFonts w:asciiTheme="minorHAnsi" w:eastAsiaTheme="minorEastAsia" w:hAnsiTheme="minorHAnsi"/>
                <w:noProof/>
                <w:sz w:val="22"/>
              </w:rPr>
              <w:tab/>
            </w:r>
            <w:r w:rsidR="00816824" w:rsidRPr="00C70558">
              <w:rPr>
                <w:rStyle w:val="Hyperlink"/>
                <w:noProof/>
              </w:rPr>
              <w:t>Accumulation and Management of Information</w:t>
            </w:r>
            <w:r w:rsidR="00816824">
              <w:rPr>
                <w:noProof/>
                <w:webHidden/>
              </w:rPr>
              <w:tab/>
            </w:r>
            <w:r w:rsidR="00816824">
              <w:rPr>
                <w:noProof/>
                <w:webHidden/>
              </w:rPr>
              <w:fldChar w:fldCharType="begin"/>
            </w:r>
            <w:r w:rsidR="00816824">
              <w:rPr>
                <w:noProof/>
                <w:webHidden/>
              </w:rPr>
              <w:instrText xml:space="preserve"> PAGEREF _Toc520906367 \h </w:instrText>
            </w:r>
            <w:r w:rsidR="00816824">
              <w:rPr>
                <w:noProof/>
                <w:webHidden/>
              </w:rPr>
            </w:r>
            <w:r w:rsidR="00816824">
              <w:rPr>
                <w:noProof/>
                <w:webHidden/>
              </w:rPr>
              <w:fldChar w:fldCharType="separate"/>
            </w:r>
            <w:r w:rsidR="00DD7AFE">
              <w:rPr>
                <w:noProof/>
                <w:webHidden/>
              </w:rPr>
              <w:t>15</w:t>
            </w:r>
            <w:r w:rsidR="00816824">
              <w:rPr>
                <w:noProof/>
                <w:webHidden/>
              </w:rPr>
              <w:fldChar w:fldCharType="end"/>
            </w:r>
          </w:hyperlink>
        </w:p>
        <w:p w14:paraId="0A166240" w14:textId="448606C3"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68" w:history="1">
            <w:r w:rsidR="00816824" w:rsidRPr="00C70558">
              <w:rPr>
                <w:rStyle w:val="Hyperlink"/>
                <w:noProof/>
              </w:rPr>
              <w:t>C.</w:t>
            </w:r>
            <w:r w:rsidR="00816824">
              <w:rPr>
                <w:rFonts w:asciiTheme="minorHAnsi" w:eastAsiaTheme="minorEastAsia" w:hAnsiTheme="minorHAnsi"/>
                <w:noProof/>
                <w:sz w:val="22"/>
              </w:rPr>
              <w:tab/>
            </w:r>
            <w:r w:rsidR="00816824" w:rsidRPr="00C70558">
              <w:rPr>
                <w:rStyle w:val="Hyperlink"/>
                <w:noProof/>
              </w:rPr>
              <w:t>Management Processes</w:t>
            </w:r>
            <w:r w:rsidR="00816824">
              <w:rPr>
                <w:noProof/>
                <w:webHidden/>
              </w:rPr>
              <w:tab/>
            </w:r>
            <w:r w:rsidR="00816824">
              <w:rPr>
                <w:noProof/>
                <w:webHidden/>
              </w:rPr>
              <w:fldChar w:fldCharType="begin"/>
            </w:r>
            <w:r w:rsidR="00816824">
              <w:rPr>
                <w:noProof/>
                <w:webHidden/>
              </w:rPr>
              <w:instrText xml:space="preserve"> PAGEREF _Toc520906368 \h </w:instrText>
            </w:r>
            <w:r w:rsidR="00816824">
              <w:rPr>
                <w:noProof/>
                <w:webHidden/>
              </w:rPr>
            </w:r>
            <w:r w:rsidR="00816824">
              <w:rPr>
                <w:noProof/>
                <w:webHidden/>
              </w:rPr>
              <w:fldChar w:fldCharType="separate"/>
            </w:r>
            <w:r w:rsidR="00DD7AFE">
              <w:rPr>
                <w:noProof/>
                <w:webHidden/>
              </w:rPr>
              <w:t>16</w:t>
            </w:r>
            <w:r w:rsidR="00816824">
              <w:rPr>
                <w:noProof/>
                <w:webHidden/>
              </w:rPr>
              <w:fldChar w:fldCharType="end"/>
            </w:r>
          </w:hyperlink>
        </w:p>
        <w:p w14:paraId="17C3E9E6" w14:textId="73313475"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69" w:history="1">
            <w:r w:rsidR="00816824" w:rsidRPr="00C70558">
              <w:rPr>
                <w:rStyle w:val="Hyperlink"/>
                <w:noProof/>
              </w:rPr>
              <w:t>D.</w:t>
            </w:r>
            <w:r w:rsidR="00816824">
              <w:rPr>
                <w:rFonts w:asciiTheme="minorHAnsi" w:eastAsiaTheme="minorEastAsia" w:hAnsiTheme="minorHAnsi"/>
                <w:noProof/>
                <w:sz w:val="22"/>
              </w:rPr>
              <w:tab/>
            </w:r>
            <w:r w:rsidR="00816824" w:rsidRPr="00C70558">
              <w:rPr>
                <w:rStyle w:val="Hyperlink"/>
                <w:noProof/>
              </w:rPr>
              <w:t>Food Safety Risk Analysis</w:t>
            </w:r>
            <w:r w:rsidR="00816824">
              <w:rPr>
                <w:noProof/>
                <w:webHidden/>
              </w:rPr>
              <w:tab/>
            </w:r>
            <w:r w:rsidR="00816824">
              <w:rPr>
                <w:noProof/>
                <w:webHidden/>
              </w:rPr>
              <w:fldChar w:fldCharType="begin"/>
            </w:r>
            <w:r w:rsidR="00816824">
              <w:rPr>
                <w:noProof/>
                <w:webHidden/>
              </w:rPr>
              <w:instrText xml:space="preserve"> PAGEREF _Toc520906369 \h </w:instrText>
            </w:r>
            <w:r w:rsidR="00816824">
              <w:rPr>
                <w:noProof/>
                <w:webHidden/>
              </w:rPr>
            </w:r>
            <w:r w:rsidR="00816824">
              <w:rPr>
                <w:noProof/>
                <w:webHidden/>
              </w:rPr>
              <w:fldChar w:fldCharType="separate"/>
            </w:r>
            <w:r w:rsidR="00DD7AFE">
              <w:rPr>
                <w:noProof/>
                <w:webHidden/>
              </w:rPr>
              <w:t>17</w:t>
            </w:r>
            <w:r w:rsidR="00816824">
              <w:rPr>
                <w:noProof/>
                <w:webHidden/>
              </w:rPr>
              <w:fldChar w:fldCharType="end"/>
            </w:r>
          </w:hyperlink>
        </w:p>
        <w:p w14:paraId="51F0DC51" w14:textId="0AB238C1"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70" w:history="1">
            <w:r w:rsidR="00816824" w:rsidRPr="00C70558">
              <w:rPr>
                <w:rStyle w:val="Hyperlink"/>
                <w:noProof/>
              </w:rPr>
              <w:t>E.</w:t>
            </w:r>
            <w:r w:rsidR="00816824">
              <w:rPr>
                <w:rFonts w:asciiTheme="minorHAnsi" w:eastAsiaTheme="minorEastAsia" w:hAnsiTheme="minorHAnsi"/>
                <w:noProof/>
                <w:sz w:val="22"/>
              </w:rPr>
              <w:tab/>
            </w:r>
            <w:r w:rsidR="00816824" w:rsidRPr="00C70558">
              <w:rPr>
                <w:rStyle w:val="Hyperlink"/>
                <w:noProof/>
              </w:rPr>
              <w:t>Food Safety Laboratories and Accreditation</w:t>
            </w:r>
            <w:r w:rsidR="00816824">
              <w:rPr>
                <w:noProof/>
                <w:webHidden/>
              </w:rPr>
              <w:tab/>
            </w:r>
            <w:r w:rsidR="00816824">
              <w:rPr>
                <w:noProof/>
                <w:webHidden/>
              </w:rPr>
              <w:fldChar w:fldCharType="begin"/>
            </w:r>
            <w:r w:rsidR="00816824">
              <w:rPr>
                <w:noProof/>
                <w:webHidden/>
              </w:rPr>
              <w:instrText xml:space="preserve"> PAGEREF _Toc520906370 \h </w:instrText>
            </w:r>
            <w:r w:rsidR="00816824">
              <w:rPr>
                <w:noProof/>
                <w:webHidden/>
              </w:rPr>
            </w:r>
            <w:r w:rsidR="00816824">
              <w:rPr>
                <w:noProof/>
                <w:webHidden/>
              </w:rPr>
              <w:fldChar w:fldCharType="separate"/>
            </w:r>
            <w:r w:rsidR="00DD7AFE">
              <w:rPr>
                <w:noProof/>
                <w:webHidden/>
              </w:rPr>
              <w:t>18</w:t>
            </w:r>
            <w:r w:rsidR="00816824">
              <w:rPr>
                <w:noProof/>
                <w:webHidden/>
              </w:rPr>
              <w:fldChar w:fldCharType="end"/>
            </w:r>
          </w:hyperlink>
        </w:p>
        <w:p w14:paraId="2040FF5F" w14:textId="67FCCF35" w:rsidR="00816824" w:rsidRDefault="00752F94" w:rsidP="00816824">
          <w:pPr>
            <w:pStyle w:val="TOC1"/>
            <w:spacing w:after="40"/>
            <w:rPr>
              <w:rFonts w:asciiTheme="minorHAnsi" w:eastAsiaTheme="minorEastAsia" w:hAnsiTheme="minorHAnsi"/>
              <w:noProof/>
              <w:sz w:val="22"/>
            </w:rPr>
          </w:pPr>
          <w:hyperlink w:anchor="_Toc520906371" w:history="1">
            <w:r w:rsidR="00816824" w:rsidRPr="00C70558">
              <w:rPr>
                <w:rStyle w:val="Hyperlink"/>
                <w:noProof/>
              </w:rPr>
              <w:t>MONITORING AND CONTROL ACTIVITIES</w:t>
            </w:r>
            <w:r w:rsidR="00816824">
              <w:rPr>
                <w:noProof/>
                <w:webHidden/>
              </w:rPr>
              <w:tab/>
            </w:r>
            <w:r w:rsidR="00816824">
              <w:rPr>
                <w:noProof/>
                <w:webHidden/>
              </w:rPr>
              <w:fldChar w:fldCharType="begin"/>
            </w:r>
            <w:r w:rsidR="00816824">
              <w:rPr>
                <w:noProof/>
                <w:webHidden/>
              </w:rPr>
              <w:instrText xml:space="preserve"> PAGEREF _Toc520906371 \h </w:instrText>
            </w:r>
            <w:r w:rsidR="00816824">
              <w:rPr>
                <w:noProof/>
                <w:webHidden/>
              </w:rPr>
            </w:r>
            <w:r w:rsidR="00816824">
              <w:rPr>
                <w:noProof/>
                <w:webHidden/>
              </w:rPr>
              <w:fldChar w:fldCharType="separate"/>
            </w:r>
            <w:r w:rsidR="00DD7AFE">
              <w:rPr>
                <w:noProof/>
                <w:webHidden/>
              </w:rPr>
              <w:t>19</w:t>
            </w:r>
            <w:r w:rsidR="00816824">
              <w:rPr>
                <w:noProof/>
                <w:webHidden/>
              </w:rPr>
              <w:fldChar w:fldCharType="end"/>
            </w:r>
          </w:hyperlink>
        </w:p>
        <w:p w14:paraId="7891A139" w14:textId="454AD6C9"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72" w:history="1">
            <w:r w:rsidR="00816824" w:rsidRPr="00C70558">
              <w:rPr>
                <w:rStyle w:val="Hyperlink"/>
                <w:noProof/>
              </w:rPr>
              <w:t>A.</w:t>
            </w:r>
            <w:r w:rsidR="00816824">
              <w:rPr>
                <w:rFonts w:asciiTheme="minorHAnsi" w:eastAsiaTheme="minorEastAsia" w:hAnsiTheme="minorHAnsi"/>
                <w:noProof/>
                <w:sz w:val="22"/>
              </w:rPr>
              <w:tab/>
            </w:r>
            <w:r w:rsidR="00816824" w:rsidRPr="00C70558">
              <w:rPr>
                <w:rStyle w:val="Hyperlink"/>
                <w:noProof/>
              </w:rPr>
              <w:t>Food Safety</w:t>
            </w:r>
            <w:r w:rsidR="00816824">
              <w:rPr>
                <w:noProof/>
                <w:webHidden/>
              </w:rPr>
              <w:tab/>
            </w:r>
            <w:r w:rsidR="00816824">
              <w:rPr>
                <w:noProof/>
                <w:webHidden/>
              </w:rPr>
              <w:fldChar w:fldCharType="begin"/>
            </w:r>
            <w:r w:rsidR="00816824">
              <w:rPr>
                <w:noProof/>
                <w:webHidden/>
              </w:rPr>
              <w:instrText xml:space="preserve"> PAGEREF _Toc520906372 \h </w:instrText>
            </w:r>
            <w:r w:rsidR="00816824">
              <w:rPr>
                <w:noProof/>
                <w:webHidden/>
              </w:rPr>
            </w:r>
            <w:r w:rsidR="00816824">
              <w:rPr>
                <w:noProof/>
                <w:webHidden/>
              </w:rPr>
              <w:fldChar w:fldCharType="separate"/>
            </w:r>
            <w:r w:rsidR="00DD7AFE">
              <w:rPr>
                <w:noProof/>
                <w:webHidden/>
              </w:rPr>
              <w:t>19</w:t>
            </w:r>
            <w:r w:rsidR="00816824">
              <w:rPr>
                <w:noProof/>
                <w:webHidden/>
              </w:rPr>
              <w:fldChar w:fldCharType="end"/>
            </w:r>
          </w:hyperlink>
        </w:p>
        <w:p w14:paraId="05E2ED04" w14:textId="2ABBFA38"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73" w:history="1">
            <w:r w:rsidR="00816824" w:rsidRPr="00C70558">
              <w:rPr>
                <w:rStyle w:val="Hyperlink"/>
                <w:noProof/>
              </w:rPr>
              <w:t>B.</w:t>
            </w:r>
            <w:r w:rsidR="00816824">
              <w:rPr>
                <w:rFonts w:asciiTheme="minorHAnsi" w:eastAsiaTheme="minorEastAsia" w:hAnsiTheme="minorHAnsi"/>
                <w:noProof/>
                <w:sz w:val="22"/>
              </w:rPr>
              <w:tab/>
            </w:r>
            <w:r w:rsidR="00816824" w:rsidRPr="00C70558">
              <w:rPr>
                <w:rStyle w:val="Hyperlink"/>
                <w:noProof/>
              </w:rPr>
              <w:t>Animal Health</w:t>
            </w:r>
            <w:r w:rsidR="00816824">
              <w:rPr>
                <w:noProof/>
                <w:webHidden/>
              </w:rPr>
              <w:tab/>
            </w:r>
            <w:r w:rsidR="00816824">
              <w:rPr>
                <w:noProof/>
                <w:webHidden/>
              </w:rPr>
              <w:fldChar w:fldCharType="begin"/>
            </w:r>
            <w:r w:rsidR="00816824">
              <w:rPr>
                <w:noProof/>
                <w:webHidden/>
              </w:rPr>
              <w:instrText xml:space="preserve"> PAGEREF _Toc520906373 \h </w:instrText>
            </w:r>
            <w:r w:rsidR="00816824">
              <w:rPr>
                <w:noProof/>
                <w:webHidden/>
              </w:rPr>
            </w:r>
            <w:r w:rsidR="00816824">
              <w:rPr>
                <w:noProof/>
                <w:webHidden/>
              </w:rPr>
              <w:fldChar w:fldCharType="separate"/>
            </w:r>
            <w:r w:rsidR="00DD7AFE">
              <w:rPr>
                <w:noProof/>
                <w:webHidden/>
              </w:rPr>
              <w:t>21</w:t>
            </w:r>
            <w:r w:rsidR="00816824">
              <w:rPr>
                <w:noProof/>
                <w:webHidden/>
              </w:rPr>
              <w:fldChar w:fldCharType="end"/>
            </w:r>
          </w:hyperlink>
        </w:p>
        <w:p w14:paraId="6DAB55BE" w14:textId="710990B2"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74" w:history="1">
            <w:r w:rsidR="00816824" w:rsidRPr="00C70558">
              <w:rPr>
                <w:rStyle w:val="Hyperlink"/>
                <w:noProof/>
              </w:rPr>
              <w:t>C.</w:t>
            </w:r>
            <w:r w:rsidR="00816824">
              <w:rPr>
                <w:rFonts w:asciiTheme="minorHAnsi" w:eastAsiaTheme="minorEastAsia" w:hAnsiTheme="minorHAnsi"/>
                <w:noProof/>
                <w:sz w:val="22"/>
              </w:rPr>
              <w:tab/>
            </w:r>
            <w:r w:rsidR="00816824" w:rsidRPr="00C70558">
              <w:rPr>
                <w:rStyle w:val="Hyperlink"/>
                <w:noProof/>
              </w:rPr>
              <w:t>Plant Health</w:t>
            </w:r>
            <w:r w:rsidR="00816824">
              <w:rPr>
                <w:noProof/>
                <w:webHidden/>
              </w:rPr>
              <w:tab/>
            </w:r>
            <w:r w:rsidR="00816824">
              <w:rPr>
                <w:noProof/>
                <w:webHidden/>
              </w:rPr>
              <w:fldChar w:fldCharType="begin"/>
            </w:r>
            <w:r w:rsidR="00816824">
              <w:rPr>
                <w:noProof/>
                <w:webHidden/>
              </w:rPr>
              <w:instrText xml:space="preserve"> PAGEREF _Toc520906374 \h </w:instrText>
            </w:r>
            <w:r w:rsidR="00816824">
              <w:rPr>
                <w:noProof/>
                <w:webHidden/>
              </w:rPr>
            </w:r>
            <w:r w:rsidR="00816824">
              <w:rPr>
                <w:noProof/>
                <w:webHidden/>
              </w:rPr>
              <w:fldChar w:fldCharType="separate"/>
            </w:r>
            <w:r w:rsidR="00DD7AFE">
              <w:rPr>
                <w:noProof/>
                <w:webHidden/>
              </w:rPr>
              <w:t>23</w:t>
            </w:r>
            <w:r w:rsidR="00816824">
              <w:rPr>
                <w:noProof/>
                <w:webHidden/>
              </w:rPr>
              <w:fldChar w:fldCharType="end"/>
            </w:r>
          </w:hyperlink>
        </w:p>
        <w:p w14:paraId="61054911" w14:textId="1B172C3A"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75" w:history="1">
            <w:r w:rsidR="00816824" w:rsidRPr="00C70558">
              <w:rPr>
                <w:rStyle w:val="Hyperlink"/>
                <w:noProof/>
              </w:rPr>
              <w:t>D.</w:t>
            </w:r>
            <w:r w:rsidR="00816824">
              <w:rPr>
                <w:rFonts w:asciiTheme="minorHAnsi" w:eastAsiaTheme="minorEastAsia" w:hAnsiTheme="minorHAnsi"/>
                <w:noProof/>
                <w:sz w:val="22"/>
              </w:rPr>
              <w:tab/>
            </w:r>
            <w:r w:rsidR="00816824" w:rsidRPr="00C70558">
              <w:rPr>
                <w:rStyle w:val="Hyperlink"/>
                <w:noProof/>
              </w:rPr>
              <w:t>Border Inspection</w:t>
            </w:r>
            <w:r w:rsidR="00816824">
              <w:rPr>
                <w:noProof/>
                <w:webHidden/>
              </w:rPr>
              <w:tab/>
            </w:r>
            <w:r w:rsidR="00816824">
              <w:rPr>
                <w:noProof/>
                <w:webHidden/>
              </w:rPr>
              <w:fldChar w:fldCharType="begin"/>
            </w:r>
            <w:r w:rsidR="00816824">
              <w:rPr>
                <w:noProof/>
                <w:webHidden/>
              </w:rPr>
              <w:instrText xml:space="preserve"> PAGEREF _Toc520906375 \h </w:instrText>
            </w:r>
            <w:r w:rsidR="00816824">
              <w:rPr>
                <w:noProof/>
                <w:webHidden/>
              </w:rPr>
            </w:r>
            <w:r w:rsidR="00816824">
              <w:rPr>
                <w:noProof/>
                <w:webHidden/>
              </w:rPr>
              <w:fldChar w:fldCharType="separate"/>
            </w:r>
            <w:r w:rsidR="00DD7AFE">
              <w:rPr>
                <w:noProof/>
                <w:webHidden/>
              </w:rPr>
              <w:t>24</w:t>
            </w:r>
            <w:r w:rsidR="00816824">
              <w:rPr>
                <w:noProof/>
                <w:webHidden/>
              </w:rPr>
              <w:fldChar w:fldCharType="end"/>
            </w:r>
          </w:hyperlink>
        </w:p>
        <w:p w14:paraId="22D0F282" w14:textId="5558366A"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76" w:history="1">
            <w:r w:rsidR="00816824" w:rsidRPr="00C70558">
              <w:rPr>
                <w:rStyle w:val="Hyperlink"/>
                <w:noProof/>
              </w:rPr>
              <w:t>E.</w:t>
            </w:r>
            <w:r w:rsidR="00816824">
              <w:rPr>
                <w:rFonts w:asciiTheme="minorHAnsi" w:eastAsiaTheme="minorEastAsia" w:hAnsiTheme="minorHAnsi"/>
                <w:noProof/>
                <w:sz w:val="22"/>
              </w:rPr>
              <w:tab/>
            </w:r>
            <w:r w:rsidR="00816824" w:rsidRPr="00C70558">
              <w:rPr>
                <w:rStyle w:val="Hyperlink"/>
                <w:noProof/>
              </w:rPr>
              <w:t>Water Supply Systems</w:t>
            </w:r>
            <w:r w:rsidR="00816824">
              <w:rPr>
                <w:noProof/>
                <w:webHidden/>
              </w:rPr>
              <w:tab/>
            </w:r>
            <w:r w:rsidR="00816824">
              <w:rPr>
                <w:noProof/>
                <w:webHidden/>
              </w:rPr>
              <w:fldChar w:fldCharType="begin"/>
            </w:r>
            <w:r w:rsidR="00816824">
              <w:rPr>
                <w:noProof/>
                <w:webHidden/>
              </w:rPr>
              <w:instrText xml:space="preserve"> PAGEREF _Toc520906376 \h </w:instrText>
            </w:r>
            <w:r w:rsidR="00816824">
              <w:rPr>
                <w:noProof/>
                <w:webHidden/>
              </w:rPr>
            </w:r>
            <w:r w:rsidR="00816824">
              <w:rPr>
                <w:noProof/>
                <w:webHidden/>
              </w:rPr>
              <w:fldChar w:fldCharType="separate"/>
            </w:r>
            <w:r w:rsidR="00DD7AFE">
              <w:rPr>
                <w:noProof/>
                <w:webHidden/>
              </w:rPr>
              <w:t>25</w:t>
            </w:r>
            <w:r w:rsidR="00816824">
              <w:rPr>
                <w:noProof/>
                <w:webHidden/>
              </w:rPr>
              <w:fldChar w:fldCharType="end"/>
            </w:r>
          </w:hyperlink>
        </w:p>
        <w:p w14:paraId="44F43D31" w14:textId="28221102"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77" w:history="1">
            <w:r w:rsidR="00816824" w:rsidRPr="00C70558">
              <w:rPr>
                <w:rStyle w:val="Hyperlink"/>
                <w:noProof/>
              </w:rPr>
              <w:t>F.</w:t>
            </w:r>
            <w:r w:rsidR="00816824">
              <w:rPr>
                <w:rFonts w:asciiTheme="minorHAnsi" w:eastAsiaTheme="minorEastAsia" w:hAnsiTheme="minorHAnsi"/>
                <w:noProof/>
                <w:sz w:val="22"/>
              </w:rPr>
              <w:tab/>
            </w:r>
            <w:r w:rsidR="00816824" w:rsidRPr="00C70558">
              <w:rPr>
                <w:rStyle w:val="Hyperlink"/>
                <w:noProof/>
              </w:rPr>
              <w:t>Human Health and Control Plan</w:t>
            </w:r>
            <w:r w:rsidR="00816824">
              <w:rPr>
                <w:noProof/>
                <w:webHidden/>
              </w:rPr>
              <w:tab/>
            </w:r>
            <w:r w:rsidR="00816824">
              <w:rPr>
                <w:noProof/>
                <w:webHidden/>
              </w:rPr>
              <w:fldChar w:fldCharType="begin"/>
            </w:r>
            <w:r w:rsidR="00816824">
              <w:rPr>
                <w:noProof/>
                <w:webHidden/>
              </w:rPr>
              <w:instrText xml:space="preserve"> PAGEREF _Toc520906377 \h </w:instrText>
            </w:r>
            <w:r w:rsidR="00816824">
              <w:rPr>
                <w:noProof/>
                <w:webHidden/>
              </w:rPr>
            </w:r>
            <w:r w:rsidR="00816824">
              <w:rPr>
                <w:noProof/>
                <w:webHidden/>
              </w:rPr>
              <w:fldChar w:fldCharType="separate"/>
            </w:r>
            <w:r w:rsidR="00DD7AFE">
              <w:rPr>
                <w:noProof/>
                <w:webHidden/>
              </w:rPr>
              <w:t>27</w:t>
            </w:r>
            <w:r w:rsidR="00816824">
              <w:rPr>
                <w:noProof/>
                <w:webHidden/>
              </w:rPr>
              <w:fldChar w:fldCharType="end"/>
            </w:r>
          </w:hyperlink>
        </w:p>
        <w:p w14:paraId="68DC6414" w14:textId="3A7AD79E" w:rsidR="00816824" w:rsidRDefault="00752F94" w:rsidP="00816824">
          <w:pPr>
            <w:pStyle w:val="TOC1"/>
            <w:spacing w:after="40"/>
            <w:rPr>
              <w:rFonts w:asciiTheme="minorHAnsi" w:eastAsiaTheme="minorEastAsia" w:hAnsiTheme="minorHAnsi"/>
              <w:noProof/>
              <w:sz w:val="22"/>
            </w:rPr>
          </w:pPr>
          <w:hyperlink w:anchor="_Toc520906378" w:history="1">
            <w:r w:rsidR="00816824" w:rsidRPr="00C70558">
              <w:rPr>
                <w:rStyle w:val="Hyperlink"/>
                <w:noProof/>
              </w:rPr>
              <w:t>SYSTEMIC ISSUES</w:t>
            </w:r>
            <w:r w:rsidR="00816824">
              <w:rPr>
                <w:noProof/>
                <w:webHidden/>
              </w:rPr>
              <w:tab/>
            </w:r>
            <w:r w:rsidR="00816824">
              <w:rPr>
                <w:noProof/>
                <w:webHidden/>
              </w:rPr>
              <w:fldChar w:fldCharType="begin"/>
            </w:r>
            <w:r w:rsidR="00816824">
              <w:rPr>
                <w:noProof/>
                <w:webHidden/>
              </w:rPr>
              <w:instrText xml:space="preserve"> PAGEREF _Toc520906378 \h </w:instrText>
            </w:r>
            <w:r w:rsidR="00816824">
              <w:rPr>
                <w:noProof/>
                <w:webHidden/>
              </w:rPr>
            </w:r>
            <w:r w:rsidR="00816824">
              <w:rPr>
                <w:noProof/>
                <w:webHidden/>
              </w:rPr>
              <w:fldChar w:fldCharType="separate"/>
            </w:r>
            <w:r w:rsidR="00DD7AFE">
              <w:rPr>
                <w:noProof/>
                <w:webHidden/>
              </w:rPr>
              <w:t>28</w:t>
            </w:r>
            <w:r w:rsidR="00816824">
              <w:rPr>
                <w:noProof/>
                <w:webHidden/>
              </w:rPr>
              <w:fldChar w:fldCharType="end"/>
            </w:r>
          </w:hyperlink>
        </w:p>
        <w:p w14:paraId="69F846F4" w14:textId="64E3CEBD"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79" w:history="1">
            <w:r w:rsidR="00816824" w:rsidRPr="00C70558">
              <w:rPr>
                <w:rStyle w:val="Hyperlink"/>
                <w:noProof/>
              </w:rPr>
              <w:t>A.</w:t>
            </w:r>
            <w:r w:rsidR="00816824">
              <w:rPr>
                <w:rFonts w:asciiTheme="minorHAnsi" w:eastAsiaTheme="minorEastAsia" w:hAnsiTheme="minorHAnsi"/>
                <w:noProof/>
                <w:sz w:val="22"/>
              </w:rPr>
              <w:tab/>
            </w:r>
            <w:r w:rsidR="00816824" w:rsidRPr="00C70558">
              <w:rPr>
                <w:rStyle w:val="Hyperlink"/>
                <w:noProof/>
              </w:rPr>
              <w:t>Traceability in the Food Supply Chain</w:t>
            </w:r>
            <w:r w:rsidR="00816824">
              <w:rPr>
                <w:noProof/>
                <w:webHidden/>
              </w:rPr>
              <w:tab/>
            </w:r>
            <w:r w:rsidR="00816824">
              <w:rPr>
                <w:noProof/>
                <w:webHidden/>
              </w:rPr>
              <w:fldChar w:fldCharType="begin"/>
            </w:r>
            <w:r w:rsidR="00816824">
              <w:rPr>
                <w:noProof/>
                <w:webHidden/>
              </w:rPr>
              <w:instrText xml:space="preserve"> PAGEREF _Toc520906379 \h </w:instrText>
            </w:r>
            <w:r w:rsidR="00816824">
              <w:rPr>
                <w:noProof/>
                <w:webHidden/>
              </w:rPr>
            </w:r>
            <w:r w:rsidR="00816824">
              <w:rPr>
                <w:noProof/>
                <w:webHidden/>
              </w:rPr>
              <w:fldChar w:fldCharType="separate"/>
            </w:r>
            <w:r w:rsidR="00DD7AFE">
              <w:rPr>
                <w:noProof/>
                <w:webHidden/>
              </w:rPr>
              <w:t>28</w:t>
            </w:r>
            <w:r w:rsidR="00816824">
              <w:rPr>
                <w:noProof/>
                <w:webHidden/>
              </w:rPr>
              <w:fldChar w:fldCharType="end"/>
            </w:r>
          </w:hyperlink>
        </w:p>
        <w:p w14:paraId="74C6E9DC" w14:textId="315E2E55"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80" w:history="1">
            <w:r w:rsidR="00816824" w:rsidRPr="00C70558">
              <w:rPr>
                <w:rStyle w:val="Hyperlink"/>
                <w:noProof/>
              </w:rPr>
              <w:t>B.</w:t>
            </w:r>
            <w:r w:rsidR="00816824">
              <w:rPr>
                <w:rFonts w:asciiTheme="minorHAnsi" w:eastAsiaTheme="minorEastAsia" w:hAnsiTheme="minorHAnsi"/>
                <w:noProof/>
                <w:sz w:val="22"/>
              </w:rPr>
              <w:tab/>
            </w:r>
            <w:r w:rsidR="00816824" w:rsidRPr="00C70558">
              <w:rPr>
                <w:rStyle w:val="Hyperlink"/>
                <w:noProof/>
              </w:rPr>
              <w:t>Private Sector Response to Food Safety Reforms</w:t>
            </w:r>
            <w:r w:rsidR="00816824">
              <w:rPr>
                <w:noProof/>
                <w:webHidden/>
              </w:rPr>
              <w:tab/>
            </w:r>
            <w:r w:rsidR="00816824">
              <w:rPr>
                <w:noProof/>
                <w:webHidden/>
              </w:rPr>
              <w:fldChar w:fldCharType="begin"/>
            </w:r>
            <w:r w:rsidR="00816824">
              <w:rPr>
                <w:noProof/>
                <w:webHidden/>
              </w:rPr>
              <w:instrText xml:space="preserve"> PAGEREF _Toc520906380 \h </w:instrText>
            </w:r>
            <w:r w:rsidR="00816824">
              <w:rPr>
                <w:noProof/>
                <w:webHidden/>
              </w:rPr>
            </w:r>
            <w:r w:rsidR="00816824">
              <w:rPr>
                <w:noProof/>
                <w:webHidden/>
              </w:rPr>
              <w:fldChar w:fldCharType="separate"/>
            </w:r>
            <w:r w:rsidR="00DD7AFE">
              <w:rPr>
                <w:noProof/>
                <w:webHidden/>
              </w:rPr>
              <w:t>28</w:t>
            </w:r>
            <w:r w:rsidR="00816824">
              <w:rPr>
                <w:noProof/>
                <w:webHidden/>
              </w:rPr>
              <w:fldChar w:fldCharType="end"/>
            </w:r>
          </w:hyperlink>
        </w:p>
        <w:p w14:paraId="0E069A5B" w14:textId="5A2A7CD6"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81" w:history="1">
            <w:r w:rsidR="00816824" w:rsidRPr="00C70558">
              <w:rPr>
                <w:rStyle w:val="Hyperlink"/>
                <w:noProof/>
              </w:rPr>
              <w:t>C.</w:t>
            </w:r>
            <w:r w:rsidR="00816824">
              <w:rPr>
                <w:rFonts w:asciiTheme="minorHAnsi" w:eastAsiaTheme="minorEastAsia" w:hAnsiTheme="minorHAnsi"/>
                <w:noProof/>
                <w:sz w:val="22"/>
              </w:rPr>
              <w:tab/>
            </w:r>
            <w:r w:rsidR="00816824" w:rsidRPr="00C70558">
              <w:rPr>
                <w:rStyle w:val="Hyperlink"/>
                <w:noProof/>
              </w:rPr>
              <w:t>Public Awareness Among Consumers</w:t>
            </w:r>
            <w:r w:rsidR="00816824">
              <w:rPr>
                <w:noProof/>
                <w:webHidden/>
              </w:rPr>
              <w:tab/>
            </w:r>
            <w:r w:rsidR="00816824">
              <w:rPr>
                <w:noProof/>
                <w:webHidden/>
              </w:rPr>
              <w:fldChar w:fldCharType="begin"/>
            </w:r>
            <w:r w:rsidR="00816824">
              <w:rPr>
                <w:noProof/>
                <w:webHidden/>
              </w:rPr>
              <w:instrText xml:space="preserve"> PAGEREF _Toc520906381 \h </w:instrText>
            </w:r>
            <w:r w:rsidR="00816824">
              <w:rPr>
                <w:noProof/>
                <w:webHidden/>
              </w:rPr>
            </w:r>
            <w:r w:rsidR="00816824">
              <w:rPr>
                <w:noProof/>
                <w:webHidden/>
              </w:rPr>
              <w:fldChar w:fldCharType="separate"/>
            </w:r>
            <w:r w:rsidR="00DD7AFE">
              <w:rPr>
                <w:noProof/>
                <w:webHidden/>
              </w:rPr>
              <w:t>30</w:t>
            </w:r>
            <w:r w:rsidR="00816824">
              <w:rPr>
                <w:noProof/>
                <w:webHidden/>
              </w:rPr>
              <w:fldChar w:fldCharType="end"/>
            </w:r>
          </w:hyperlink>
        </w:p>
        <w:p w14:paraId="2E5C4B3C" w14:textId="5531DEC9"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82" w:history="1">
            <w:r w:rsidR="00816824" w:rsidRPr="00C70558">
              <w:rPr>
                <w:rStyle w:val="Hyperlink"/>
                <w:noProof/>
              </w:rPr>
              <w:t>D.</w:t>
            </w:r>
            <w:r w:rsidR="00816824">
              <w:rPr>
                <w:rFonts w:asciiTheme="minorHAnsi" w:eastAsiaTheme="minorEastAsia" w:hAnsiTheme="minorHAnsi"/>
                <w:noProof/>
                <w:sz w:val="22"/>
              </w:rPr>
              <w:tab/>
            </w:r>
            <w:r w:rsidR="00816824" w:rsidRPr="00C70558">
              <w:rPr>
                <w:rStyle w:val="Hyperlink"/>
                <w:noProof/>
              </w:rPr>
              <w:t>Engagement and Civil Participation</w:t>
            </w:r>
            <w:r w:rsidR="00816824">
              <w:rPr>
                <w:noProof/>
                <w:webHidden/>
              </w:rPr>
              <w:tab/>
            </w:r>
            <w:r w:rsidR="00816824">
              <w:rPr>
                <w:noProof/>
                <w:webHidden/>
              </w:rPr>
              <w:fldChar w:fldCharType="begin"/>
            </w:r>
            <w:r w:rsidR="00816824">
              <w:rPr>
                <w:noProof/>
                <w:webHidden/>
              </w:rPr>
              <w:instrText xml:space="preserve"> PAGEREF _Toc520906382 \h </w:instrText>
            </w:r>
            <w:r w:rsidR="00816824">
              <w:rPr>
                <w:noProof/>
                <w:webHidden/>
              </w:rPr>
            </w:r>
            <w:r w:rsidR="00816824">
              <w:rPr>
                <w:noProof/>
                <w:webHidden/>
              </w:rPr>
              <w:fldChar w:fldCharType="separate"/>
            </w:r>
            <w:r w:rsidR="00DD7AFE">
              <w:rPr>
                <w:noProof/>
                <w:webHidden/>
              </w:rPr>
              <w:t>31</w:t>
            </w:r>
            <w:r w:rsidR="00816824">
              <w:rPr>
                <w:noProof/>
                <w:webHidden/>
              </w:rPr>
              <w:fldChar w:fldCharType="end"/>
            </w:r>
          </w:hyperlink>
        </w:p>
        <w:p w14:paraId="25BEFCCA" w14:textId="35E2DED7" w:rsidR="00816824" w:rsidRDefault="00752F94" w:rsidP="00816824">
          <w:pPr>
            <w:pStyle w:val="TOC1"/>
            <w:spacing w:after="40"/>
            <w:rPr>
              <w:rFonts w:asciiTheme="minorHAnsi" w:eastAsiaTheme="minorEastAsia" w:hAnsiTheme="minorHAnsi"/>
              <w:noProof/>
              <w:sz w:val="22"/>
            </w:rPr>
          </w:pPr>
          <w:hyperlink w:anchor="_Toc520906383" w:history="1">
            <w:r w:rsidR="00816824" w:rsidRPr="00C70558">
              <w:rPr>
                <w:rStyle w:val="Hyperlink"/>
                <w:noProof/>
              </w:rPr>
              <w:t>FINDINGS, OBSERVATIONS AND RECOMMENDATIONS</w:t>
            </w:r>
            <w:r w:rsidR="00816824">
              <w:rPr>
                <w:noProof/>
                <w:webHidden/>
              </w:rPr>
              <w:tab/>
            </w:r>
            <w:r w:rsidR="00816824">
              <w:rPr>
                <w:noProof/>
                <w:webHidden/>
              </w:rPr>
              <w:fldChar w:fldCharType="begin"/>
            </w:r>
            <w:r w:rsidR="00816824">
              <w:rPr>
                <w:noProof/>
                <w:webHidden/>
              </w:rPr>
              <w:instrText xml:space="preserve"> PAGEREF _Toc520906383 \h </w:instrText>
            </w:r>
            <w:r w:rsidR="00816824">
              <w:rPr>
                <w:noProof/>
                <w:webHidden/>
              </w:rPr>
            </w:r>
            <w:r w:rsidR="00816824">
              <w:rPr>
                <w:noProof/>
                <w:webHidden/>
              </w:rPr>
              <w:fldChar w:fldCharType="separate"/>
            </w:r>
            <w:r w:rsidR="00DD7AFE">
              <w:rPr>
                <w:noProof/>
                <w:webHidden/>
              </w:rPr>
              <w:t>33</w:t>
            </w:r>
            <w:r w:rsidR="00816824">
              <w:rPr>
                <w:noProof/>
                <w:webHidden/>
              </w:rPr>
              <w:fldChar w:fldCharType="end"/>
            </w:r>
          </w:hyperlink>
        </w:p>
        <w:p w14:paraId="2AF48981" w14:textId="17313237"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84" w:history="1">
            <w:r w:rsidR="00816824" w:rsidRPr="00C70558">
              <w:rPr>
                <w:rStyle w:val="Hyperlink"/>
                <w:noProof/>
              </w:rPr>
              <w:t>A.</w:t>
            </w:r>
            <w:r w:rsidR="00816824">
              <w:rPr>
                <w:rFonts w:asciiTheme="minorHAnsi" w:eastAsiaTheme="minorEastAsia" w:hAnsiTheme="minorHAnsi"/>
                <w:noProof/>
                <w:sz w:val="22"/>
              </w:rPr>
              <w:tab/>
            </w:r>
            <w:r w:rsidR="00816824" w:rsidRPr="00C70558">
              <w:rPr>
                <w:rStyle w:val="Hyperlink"/>
                <w:noProof/>
              </w:rPr>
              <w:t>Findings and Observations</w:t>
            </w:r>
            <w:r w:rsidR="00816824">
              <w:rPr>
                <w:noProof/>
                <w:webHidden/>
              </w:rPr>
              <w:tab/>
            </w:r>
            <w:r w:rsidR="00816824">
              <w:rPr>
                <w:noProof/>
                <w:webHidden/>
              </w:rPr>
              <w:fldChar w:fldCharType="begin"/>
            </w:r>
            <w:r w:rsidR="00816824">
              <w:rPr>
                <w:noProof/>
                <w:webHidden/>
              </w:rPr>
              <w:instrText xml:space="preserve"> PAGEREF _Toc520906384 \h </w:instrText>
            </w:r>
            <w:r w:rsidR="00816824">
              <w:rPr>
                <w:noProof/>
                <w:webHidden/>
              </w:rPr>
            </w:r>
            <w:r w:rsidR="00816824">
              <w:rPr>
                <w:noProof/>
                <w:webHidden/>
              </w:rPr>
              <w:fldChar w:fldCharType="separate"/>
            </w:r>
            <w:r w:rsidR="00DD7AFE">
              <w:rPr>
                <w:noProof/>
                <w:webHidden/>
              </w:rPr>
              <w:t>33</w:t>
            </w:r>
            <w:r w:rsidR="00816824">
              <w:rPr>
                <w:noProof/>
                <w:webHidden/>
              </w:rPr>
              <w:fldChar w:fldCharType="end"/>
            </w:r>
          </w:hyperlink>
        </w:p>
        <w:p w14:paraId="024BF594" w14:textId="62916E9B" w:rsidR="00816824" w:rsidRDefault="00752F94" w:rsidP="00816824">
          <w:pPr>
            <w:pStyle w:val="TOC2"/>
            <w:tabs>
              <w:tab w:val="left" w:pos="660"/>
              <w:tab w:val="right" w:leader="dot" w:pos="9016"/>
            </w:tabs>
            <w:spacing w:after="40"/>
            <w:rPr>
              <w:rFonts w:asciiTheme="minorHAnsi" w:eastAsiaTheme="minorEastAsia" w:hAnsiTheme="minorHAnsi"/>
              <w:noProof/>
              <w:sz w:val="22"/>
            </w:rPr>
          </w:pPr>
          <w:hyperlink w:anchor="_Toc520906385" w:history="1">
            <w:r w:rsidR="00816824" w:rsidRPr="00C70558">
              <w:rPr>
                <w:rStyle w:val="Hyperlink"/>
                <w:noProof/>
              </w:rPr>
              <w:t>B.</w:t>
            </w:r>
            <w:r w:rsidR="00816824">
              <w:rPr>
                <w:rFonts w:asciiTheme="minorHAnsi" w:eastAsiaTheme="minorEastAsia" w:hAnsiTheme="minorHAnsi"/>
                <w:noProof/>
                <w:sz w:val="22"/>
              </w:rPr>
              <w:tab/>
            </w:r>
            <w:r w:rsidR="00816824" w:rsidRPr="00C70558">
              <w:rPr>
                <w:rStyle w:val="Hyperlink"/>
                <w:noProof/>
              </w:rPr>
              <w:t>Recommendations</w:t>
            </w:r>
            <w:r w:rsidR="00816824">
              <w:rPr>
                <w:noProof/>
                <w:webHidden/>
              </w:rPr>
              <w:tab/>
            </w:r>
            <w:r w:rsidR="00816824">
              <w:rPr>
                <w:noProof/>
                <w:webHidden/>
              </w:rPr>
              <w:fldChar w:fldCharType="begin"/>
            </w:r>
            <w:r w:rsidR="00816824">
              <w:rPr>
                <w:noProof/>
                <w:webHidden/>
              </w:rPr>
              <w:instrText xml:space="preserve"> PAGEREF _Toc520906385 \h </w:instrText>
            </w:r>
            <w:r w:rsidR="00816824">
              <w:rPr>
                <w:noProof/>
                <w:webHidden/>
              </w:rPr>
            </w:r>
            <w:r w:rsidR="00816824">
              <w:rPr>
                <w:noProof/>
                <w:webHidden/>
              </w:rPr>
              <w:fldChar w:fldCharType="separate"/>
            </w:r>
            <w:r w:rsidR="00DD7AFE">
              <w:rPr>
                <w:noProof/>
                <w:webHidden/>
              </w:rPr>
              <w:t>37</w:t>
            </w:r>
            <w:r w:rsidR="00816824">
              <w:rPr>
                <w:noProof/>
                <w:webHidden/>
              </w:rPr>
              <w:fldChar w:fldCharType="end"/>
            </w:r>
          </w:hyperlink>
        </w:p>
        <w:p w14:paraId="3718EED5" w14:textId="296B045F" w:rsidR="00816824" w:rsidRDefault="00752F94" w:rsidP="00816824">
          <w:pPr>
            <w:pStyle w:val="TOC1"/>
            <w:spacing w:after="40"/>
            <w:rPr>
              <w:rFonts w:asciiTheme="minorHAnsi" w:eastAsiaTheme="minorEastAsia" w:hAnsiTheme="minorHAnsi"/>
              <w:noProof/>
              <w:sz w:val="22"/>
            </w:rPr>
          </w:pPr>
          <w:hyperlink w:anchor="_Toc520906386" w:history="1">
            <w:r w:rsidR="00816824" w:rsidRPr="00C70558">
              <w:rPr>
                <w:rStyle w:val="Hyperlink"/>
                <w:noProof/>
              </w:rPr>
              <w:t>ANNEX 1: LEGISLATION APPROXIMATED IN 2017</w:t>
            </w:r>
            <w:r w:rsidR="00816824">
              <w:rPr>
                <w:noProof/>
                <w:webHidden/>
              </w:rPr>
              <w:tab/>
            </w:r>
            <w:r w:rsidR="00816824">
              <w:rPr>
                <w:noProof/>
                <w:webHidden/>
              </w:rPr>
              <w:fldChar w:fldCharType="begin"/>
            </w:r>
            <w:r w:rsidR="00816824">
              <w:rPr>
                <w:noProof/>
                <w:webHidden/>
              </w:rPr>
              <w:instrText xml:space="preserve"> PAGEREF _Toc520906386 \h </w:instrText>
            </w:r>
            <w:r w:rsidR="00816824">
              <w:rPr>
                <w:noProof/>
                <w:webHidden/>
              </w:rPr>
            </w:r>
            <w:r w:rsidR="00816824">
              <w:rPr>
                <w:noProof/>
                <w:webHidden/>
              </w:rPr>
              <w:fldChar w:fldCharType="separate"/>
            </w:r>
            <w:r w:rsidR="00DD7AFE">
              <w:rPr>
                <w:noProof/>
                <w:webHidden/>
              </w:rPr>
              <w:t>41</w:t>
            </w:r>
            <w:r w:rsidR="00816824">
              <w:rPr>
                <w:noProof/>
                <w:webHidden/>
              </w:rPr>
              <w:fldChar w:fldCharType="end"/>
            </w:r>
          </w:hyperlink>
        </w:p>
        <w:p w14:paraId="528F2078" w14:textId="793E60A2" w:rsidR="00816824" w:rsidRDefault="00752F94" w:rsidP="00816824">
          <w:pPr>
            <w:pStyle w:val="TOC1"/>
            <w:spacing w:after="40"/>
            <w:rPr>
              <w:rFonts w:asciiTheme="minorHAnsi" w:eastAsiaTheme="minorEastAsia" w:hAnsiTheme="minorHAnsi"/>
              <w:noProof/>
              <w:sz w:val="22"/>
            </w:rPr>
          </w:pPr>
          <w:hyperlink w:anchor="_Toc520906387" w:history="1">
            <w:r w:rsidR="00816824" w:rsidRPr="00C70558">
              <w:rPr>
                <w:rStyle w:val="Hyperlink"/>
                <w:noProof/>
              </w:rPr>
              <w:t>ANNEX 2: NFA’S CAPACITY BUILDING ACTIVITIES IN 2017</w:t>
            </w:r>
            <w:r w:rsidR="00816824">
              <w:rPr>
                <w:noProof/>
                <w:webHidden/>
              </w:rPr>
              <w:tab/>
            </w:r>
            <w:r w:rsidR="00816824">
              <w:rPr>
                <w:noProof/>
                <w:webHidden/>
              </w:rPr>
              <w:fldChar w:fldCharType="begin"/>
            </w:r>
            <w:r w:rsidR="00816824">
              <w:rPr>
                <w:noProof/>
                <w:webHidden/>
              </w:rPr>
              <w:instrText xml:space="preserve"> PAGEREF _Toc520906387 \h </w:instrText>
            </w:r>
            <w:r w:rsidR="00816824">
              <w:rPr>
                <w:noProof/>
                <w:webHidden/>
              </w:rPr>
            </w:r>
            <w:r w:rsidR="00816824">
              <w:rPr>
                <w:noProof/>
                <w:webHidden/>
              </w:rPr>
              <w:fldChar w:fldCharType="separate"/>
            </w:r>
            <w:r w:rsidR="00DD7AFE">
              <w:rPr>
                <w:noProof/>
                <w:webHidden/>
              </w:rPr>
              <w:t>45</w:t>
            </w:r>
            <w:r w:rsidR="00816824">
              <w:rPr>
                <w:noProof/>
                <w:webHidden/>
              </w:rPr>
              <w:fldChar w:fldCharType="end"/>
            </w:r>
          </w:hyperlink>
        </w:p>
        <w:p w14:paraId="57DD8A30" w14:textId="5F089550" w:rsidR="00816824" w:rsidRDefault="00752F94" w:rsidP="00816824">
          <w:pPr>
            <w:pStyle w:val="TOC1"/>
            <w:spacing w:after="40"/>
            <w:rPr>
              <w:rFonts w:asciiTheme="minorHAnsi" w:eastAsiaTheme="minorEastAsia" w:hAnsiTheme="minorHAnsi"/>
              <w:noProof/>
              <w:sz w:val="22"/>
            </w:rPr>
          </w:pPr>
          <w:hyperlink w:anchor="_Toc520906388" w:history="1">
            <w:r w:rsidR="00816824" w:rsidRPr="00C70558">
              <w:rPr>
                <w:rStyle w:val="Hyperlink"/>
                <w:noProof/>
              </w:rPr>
              <w:t>ANNEX 3: NFA ACTIVITIES</w:t>
            </w:r>
            <w:r w:rsidR="00816824">
              <w:rPr>
                <w:noProof/>
                <w:webHidden/>
              </w:rPr>
              <w:tab/>
            </w:r>
            <w:r w:rsidR="00816824">
              <w:rPr>
                <w:noProof/>
                <w:webHidden/>
              </w:rPr>
              <w:fldChar w:fldCharType="begin"/>
            </w:r>
            <w:r w:rsidR="00816824">
              <w:rPr>
                <w:noProof/>
                <w:webHidden/>
              </w:rPr>
              <w:instrText xml:space="preserve"> PAGEREF _Toc520906388 \h </w:instrText>
            </w:r>
            <w:r w:rsidR="00816824">
              <w:rPr>
                <w:noProof/>
                <w:webHidden/>
              </w:rPr>
            </w:r>
            <w:r w:rsidR="00816824">
              <w:rPr>
                <w:noProof/>
                <w:webHidden/>
              </w:rPr>
              <w:fldChar w:fldCharType="separate"/>
            </w:r>
            <w:r w:rsidR="00DD7AFE">
              <w:rPr>
                <w:noProof/>
                <w:webHidden/>
              </w:rPr>
              <w:t>49</w:t>
            </w:r>
            <w:r w:rsidR="00816824">
              <w:rPr>
                <w:noProof/>
                <w:webHidden/>
              </w:rPr>
              <w:fldChar w:fldCharType="end"/>
            </w:r>
          </w:hyperlink>
        </w:p>
        <w:p w14:paraId="690B312C" w14:textId="45F89993" w:rsidR="00816824" w:rsidRDefault="00752F94" w:rsidP="00816824">
          <w:pPr>
            <w:pStyle w:val="TOC1"/>
            <w:spacing w:after="40"/>
            <w:rPr>
              <w:rFonts w:asciiTheme="minorHAnsi" w:eastAsiaTheme="minorEastAsia" w:hAnsiTheme="minorHAnsi"/>
              <w:noProof/>
              <w:sz w:val="22"/>
            </w:rPr>
          </w:pPr>
          <w:hyperlink w:anchor="_Toc520906389" w:history="1">
            <w:r w:rsidR="00816824" w:rsidRPr="00C70558">
              <w:rPr>
                <w:rStyle w:val="Hyperlink"/>
                <w:noProof/>
              </w:rPr>
              <w:t>ANNEX 4: FOODBORNE DISEASE STATISTICS IN 2008 - 2017</w:t>
            </w:r>
            <w:r w:rsidR="00816824">
              <w:rPr>
                <w:noProof/>
                <w:webHidden/>
              </w:rPr>
              <w:tab/>
            </w:r>
            <w:r w:rsidR="00816824">
              <w:rPr>
                <w:noProof/>
                <w:webHidden/>
              </w:rPr>
              <w:fldChar w:fldCharType="begin"/>
            </w:r>
            <w:r w:rsidR="00816824">
              <w:rPr>
                <w:noProof/>
                <w:webHidden/>
              </w:rPr>
              <w:instrText xml:space="preserve"> PAGEREF _Toc520906389 \h </w:instrText>
            </w:r>
            <w:r w:rsidR="00816824">
              <w:rPr>
                <w:noProof/>
                <w:webHidden/>
              </w:rPr>
            </w:r>
            <w:r w:rsidR="00816824">
              <w:rPr>
                <w:noProof/>
                <w:webHidden/>
              </w:rPr>
              <w:fldChar w:fldCharType="separate"/>
            </w:r>
            <w:r w:rsidR="00DD7AFE">
              <w:rPr>
                <w:noProof/>
                <w:webHidden/>
              </w:rPr>
              <w:t>52</w:t>
            </w:r>
            <w:r w:rsidR="00816824">
              <w:rPr>
                <w:noProof/>
                <w:webHidden/>
              </w:rPr>
              <w:fldChar w:fldCharType="end"/>
            </w:r>
          </w:hyperlink>
        </w:p>
        <w:p w14:paraId="6D6A47BD" w14:textId="45E247F6" w:rsidR="00816824" w:rsidRDefault="00752F94" w:rsidP="00816824">
          <w:pPr>
            <w:pStyle w:val="TOC1"/>
            <w:spacing w:after="40"/>
            <w:rPr>
              <w:rFonts w:asciiTheme="minorHAnsi" w:eastAsiaTheme="minorEastAsia" w:hAnsiTheme="minorHAnsi"/>
              <w:noProof/>
              <w:sz w:val="22"/>
            </w:rPr>
          </w:pPr>
          <w:hyperlink w:anchor="_Toc520906390" w:history="1">
            <w:r w:rsidR="00816824" w:rsidRPr="00C70558">
              <w:rPr>
                <w:rStyle w:val="Hyperlink"/>
                <w:noProof/>
              </w:rPr>
              <w:t>ANNEX 5: VETERINARY ACTIVITIES IN 2017</w:t>
            </w:r>
            <w:r w:rsidR="00816824">
              <w:rPr>
                <w:noProof/>
                <w:webHidden/>
              </w:rPr>
              <w:tab/>
            </w:r>
            <w:r w:rsidR="00816824">
              <w:rPr>
                <w:noProof/>
                <w:webHidden/>
              </w:rPr>
              <w:fldChar w:fldCharType="begin"/>
            </w:r>
            <w:r w:rsidR="00816824">
              <w:rPr>
                <w:noProof/>
                <w:webHidden/>
              </w:rPr>
              <w:instrText xml:space="preserve"> PAGEREF _Toc520906390 \h </w:instrText>
            </w:r>
            <w:r w:rsidR="00816824">
              <w:rPr>
                <w:noProof/>
                <w:webHidden/>
              </w:rPr>
            </w:r>
            <w:r w:rsidR="00816824">
              <w:rPr>
                <w:noProof/>
                <w:webHidden/>
              </w:rPr>
              <w:fldChar w:fldCharType="separate"/>
            </w:r>
            <w:r w:rsidR="00DD7AFE">
              <w:rPr>
                <w:noProof/>
                <w:webHidden/>
              </w:rPr>
              <w:t>53</w:t>
            </w:r>
            <w:r w:rsidR="00816824">
              <w:rPr>
                <w:noProof/>
                <w:webHidden/>
              </w:rPr>
              <w:fldChar w:fldCharType="end"/>
            </w:r>
          </w:hyperlink>
        </w:p>
        <w:p w14:paraId="214F06F0" w14:textId="427D0746" w:rsidR="00816824" w:rsidRDefault="00752F94" w:rsidP="00816824">
          <w:pPr>
            <w:pStyle w:val="TOC1"/>
            <w:spacing w:after="40"/>
            <w:rPr>
              <w:rFonts w:asciiTheme="minorHAnsi" w:eastAsiaTheme="minorEastAsia" w:hAnsiTheme="minorHAnsi"/>
              <w:noProof/>
              <w:sz w:val="22"/>
            </w:rPr>
          </w:pPr>
          <w:hyperlink w:anchor="_Toc520906391" w:history="1">
            <w:r w:rsidR="00816824" w:rsidRPr="00C70558">
              <w:rPr>
                <w:rStyle w:val="Hyperlink"/>
                <w:noProof/>
              </w:rPr>
              <w:t>ANNEX 6: DECREASE IN ANIMAL DISEASES IN 2010-17</w:t>
            </w:r>
            <w:r w:rsidR="00816824">
              <w:rPr>
                <w:noProof/>
                <w:webHidden/>
              </w:rPr>
              <w:tab/>
            </w:r>
            <w:r w:rsidR="00816824">
              <w:rPr>
                <w:noProof/>
                <w:webHidden/>
              </w:rPr>
              <w:fldChar w:fldCharType="begin"/>
            </w:r>
            <w:r w:rsidR="00816824">
              <w:rPr>
                <w:noProof/>
                <w:webHidden/>
              </w:rPr>
              <w:instrText xml:space="preserve"> PAGEREF _Toc520906391 \h </w:instrText>
            </w:r>
            <w:r w:rsidR="00816824">
              <w:rPr>
                <w:noProof/>
                <w:webHidden/>
              </w:rPr>
            </w:r>
            <w:r w:rsidR="00816824">
              <w:rPr>
                <w:noProof/>
                <w:webHidden/>
              </w:rPr>
              <w:fldChar w:fldCharType="separate"/>
            </w:r>
            <w:r w:rsidR="00DD7AFE">
              <w:rPr>
                <w:noProof/>
                <w:webHidden/>
              </w:rPr>
              <w:t>55</w:t>
            </w:r>
            <w:r w:rsidR="00816824">
              <w:rPr>
                <w:noProof/>
                <w:webHidden/>
              </w:rPr>
              <w:fldChar w:fldCharType="end"/>
            </w:r>
          </w:hyperlink>
        </w:p>
        <w:p w14:paraId="6FC9E09A" w14:textId="226A1E6B" w:rsidR="00816824" w:rsidRDefault="00752F94" w:rsidP="00816824">
          <w:pPr>
            <w:pStyle w:val="TOC1"/>
            <w:spacing w:after="40"/>
            <w:rPr>
              <w:rFonts w:asciiTheme="minorHAnsi" w:eastAsiaTheme="minorEastAsia" w:hAnsiTheme="minorHAnsi"/>
              <w:noProof/>
              <w:sz w:val="22"/>
            </w:rPr>
          </w:pPr>
          <w:hyperlink w:anchor="_Toc520906392" w:history="1">
            <w:r w:rsidR="00816824" w:rsidRPr="00C70558">
              <w:rPr>
                <w:rStyle w:val="Hyperlink"/>
                <w:noProof/>
              </w:rPr>
              <w:t>ANNEX 7: BORDER INSPECTION ACTIVITIES</w:t>
            </w:r>
            <w:r w:rsidR="00816824">
              <w:rPr>
                <w:noProof/>
                <w:webHidden/>
              </w:rPr>
              <w:tab/>
            </w:r>
            <w:r w:rsidR="00816824">
              <w:rPr>
                <w:noProof/>
                <w:webHidden/>
              </w:rPr>
              <w:fldChar w:fldCharType="begin"/>
            </w:r>
            <w:r w:rsidR="00816824">
              <w:rPr>
                <w:noProof/>
                <w:webHidden/>
              </w:rPr>
              <w:instrText xml:space="preserve"> PAGEREF _Toc520906392 \h </w:instrText>
            </w:r>
            <w:r w:rsidR="00816824">
              <w:rPr>
                <w:noProof/>
                <w:webHidden/>
              </w:rPr>
            </w:r>
            <w:r w:rsidR="00816824">
              <w:rPr>
                <w:noProof/>
                <w:webHidden/>
              </w:rPr>
              <w:fldChar w:fldCharType="separate"/>
            </w:r>
            <w:r w:rsidR="00DD7AFE">
              <w:rPr>
                <w:noProof/>
                <w:webHidden/>
              </w:rPr>
              <w:t>56</w:t>
            </w:r>
            <w:r w:rsidR="00816824">
              <w:rPr>
                <w:noProof/>
                <w:webHidden/>
              </w:rPr>
              <w:fldChar w:fldCharType="end"/>
            </w:r>
          </w:hyperlink>
        </w:p>
        <w:p w14:paraId="2EBA75B9" w14:textId="77C7838D" w:rsidR="00816824" w:rsidRDefault="00752F94" w:rsidP="00816824">
          <w:pPr>
            <w:pStyle w:val="TOC1"/>
            <w:spacing w:after="40"/>
            <w:rPr>
              <w:rFonts w:asciiTheme="minorHAnsi" w:eastAsiaTheme="minorEastAsia" w:hAnsiTheme="minorHAnsi"/>
              <w:noProof/>
              <w:sz w:val="22"/>
            </w:rPr>
          </w:pPr>
          <w:hyperlink w:anchor="_Toc520906393" w:history="1">
            <w:r w:rsidR="00816824" w:rsidRPr="00C70558">
              <w:rPr>
                <w:rStyle w:val="Hyperlink"/>
                <w:noProof/>
              </w:rPr>
              <w:t>ANNEX 8: SUMMARIES OF FOCUS GROUP DISCUSSIONS</w:t>
            </w:r>
            <w:r w:rsidR="00816824">
              <w:rPr>
                <w:noProof/>
                <w:webHidden/>
              </w:rPr>
              <w:tab/>
            </w:r>
            <w:r w:rsidR="00816824">
              <w:rPr>
                <w:noProof/>
                <w:webHidden/>
              </w:rPr>
              <w:fldChar w:fldCharType="begin"/>
            </w:r>
            <w:r w:rsidR="00816824">
              <w:rPr>
                <w:noProof/>
                <w:webHidden/>
              </w:rPr>
              <w:instrText xml:space="preserve"> PAGEREF _Toc520906393 \h </w:instrText>
            </w:r>
            <w:r w:rsidR="00816824">
              <w:rPr>
                <w:noProof/>
                <w:webHidden/>
              </w:rPr>
            </w:r>
            <w:r w:rsidR="00816824">
              <w:rPr>
                <w:noProof/>
                <w:webHidden/>
              </w:rPr>
              <w:fldChar w:fldCharType="separate"/>
            </w:r>
            <w:r w:rsidR="00DD7AFE">
              <w:rPr>
                <w:noProof/>
                <w:webHidden/>
              </w:rPr>
              <w:t>57</w:t>
            </w:r>
            <w:r w:rsidR="00816824">
              <w:rPr>
                <w:noProof/>
                <w:webHidden/>
              </w:rPr>
              <w:fldChar w:fldCharType="end"/>
            </w:r>
          </w:hyperlink>
        </w:p>
        <w:p w14:paraId="424304C3" w14:textId="1D5E2CFC" w:rsidR="00816824" w:rsidRDefault="00752F94" w:rsidP="00816824">
          <w:pPr>
            <w:pStyle w:val="TOC1"/>
            <w:spacing w:after="40"/>
            <w:rPr>
              <w:rFonts w:asciiTheme="minorHAnsi" w:eastAsiaTheme="minorEastAsia" w:hAnsiTheme="minorHAnsi"/>
              <w:noProof/>
              <w:sz w:val="22"/>
            </w:rPr>
          </w:pPr>
          <w:hyperlink w:anchor="_Toc520906394" w:history="1">
            <w:r w:rsidR="00816824" w:rsidRPr="00C70558">
              <w:rPr>
                <w:rStyle w:val="Hyperlink"/>
                <w:noProof/>
              </w:rPr>
              <w:t>ANNEX 9: SUMMARY OF NOTIFICATIONS IN 2017</w:t>
            </w:r>
            <w:r w:rsidR="00816824">
              <w:rPr>
                <w:noProof/>
                <w:webHidden/>
              </w:rPr>
              <w:tab/>
            </w:r>
            <w:r w:rsidR="00816824">
              <w:rPr>
                <w:noProof/>
                <w:webHidden/>
              </w:rPr>
              <w:fldChar w:fldCharType="begin"/>
            </w:r>
            <w:r w:rsidR="00816824">
              <w:rPr>
                <w:noProof/>
                <w:webHidden/>
              </w:rPr>
              <w:instrText xml:space="preserve"> PAGEREF _Toc520906394 \h </w:instrText>
            </w:r>
            <w:r w:rsidR="00816824">
              <w:rPr>
                <w:noProof/>
                <w:webHidden/>
              </w:rPr>
            </w:r>
            <w:r w:rsidR="00816824">
              <w:rPr>
                <w:noProof/>
                <w:webHidden/>
              </w:rPr>
              <w:fldChar w:fldCharType="separate"/>
            </w:r>
            <w:r w:rsidR="00DD7AFE">
              <w:rPr>
                <w:noProof/>
                <w:webHidden/>
              </w:rPr>
              <w:t>60</w:t>
            </w:r>
            <w:r w:rsidR="00816824">
              <w:rPr>
                <w:noProof/>
                <w:webHidden/>
              </w:rPr>
              <w:fldChar w:fldCharType="end"/>
            </w:r>
          </w:hyperlink>
        </w:p>
        <w:p w14:paraId="201A7C6A" w14:textId="62FDE469" w:rsidR="00816824" w:rsidRDefault="00752F94" w:rsidP="00816824">
          <w:pPr>
            <w:pStyle w:val="TOC1"/>
            <w:spacing w:after="40"/>
            <w:rPr>
              <w:rFonts w:asciiTheme="minorHAnsi" w:eastAsiaTheme="minorEastAsia" w:hAnsiTheme="minorHAnsi"/>
              <w:noProof/>
              <w:sz w:val="22"/>
            </w:rPr>
          </w:pPr>
          <w:hyperlink w:anchor="_Toc520906395" w:history="1">
            <w:r w:rsidR="00816824" w:rsidRPr="00C70558">
              <w:rPr>
                <w:rStyle w:val="Hyperlink"/>
                <w:noProof/>
              </w:rPr>
              <w:t>ANNEX 10: LIST OF RESPONDENTS</w:t>
            </w:r>
            <w:r w:rsidR="00816824">
              <w:rPr>
                <w:noProof/>
                <w:webHidden/>
              </w:rPr>
              <w:tab/>
            </w:r>
            <w:r w:rsidR="00816824">
              <w:rPr>
                <w:noProof/>
                <w:webHidden/>
              </w:rPr>
              <w:fldChar w:fldCharType="begin"/>
            </w:r>
            <w:r w:rsidR="00816824">
              <w:rPr>
                <w:noProof/>
                <w:webHidden/>
              </w:rPr>
              <w:instrText xml:space="preserve"> PAGEREF _Toc520906395 \h </w:instrText>
            </w:r>
            <w:r w:rsidR="00816824">
              <w:rPr>
                <w:noProof/>
                <w:webHidden/>
              </w:rPr>
            </w:r>
            <w:r w:rsidR="00816824">
              <w:rPr>
                <w:noProof/>
                <w:webHidden/>
              </w:rPr>
              <w:fldChar w:fldCharType="separate"/>
            </w:r>
            <w:r w:rsidR="00DD7AFE">
              <w:rPr>
                <w:noProof/>
                <w:webHidden/>
              </w:rPr>
              <w:t>61</w:t>
            </w:r>
            <w:r w:rsidR="00816824">
              <w:rPr>
                <w:noProof/>
                <w:webHidden/>
              </w:rPr>
              <w:fldChar w:fldCharType="end"/>
            </w:r>
          </w:hyperlink>
        </w:p>
        <w:p w14:paraId="1ABF8AD6" w14:textId="7A437FE6" w:rsidR="00B9071F" w:rsidRPr="00E53977" w:rsidRDefault="00B9071F" w:rsidP="002771FB">
          <w:pPr>
            <w:widowControl w:val="0"/>
            <w:spacing w:afterLines="20" w:after="48" w:line="240" w:lineRule="auto"/>
            <w:rPr>
              <w:b/>
              <w:bCs/>
            </w:rPr>
          </w:pPr>
          <w:r w:rsidRPr="00E53977">
            <w:fldChar w:fldCharType="end"/>
          </w:r>
        </w:p>
      </w:sdtContent>
    </w:sdt>
    <w:p w14:paraId="413DF3BB" w14:textId="02657F1B" w:rsidR="00B9071F" w:rsidRPr="00E53977" w:rsidRDefault="00933290" w:rsidP="00991EC7">
      <w:pPr>
        <w:widowControl w:val="0"/>
        <w:jc w:val="left"/>
        <w:rPr>
          <w:b/>
          <w:color w:val="0070C0"/>
          <w:sz w:val="28"/>
        </w:rPr>
      </w:pPr>
      <w:r w:rsidRPr="00E53977">
        <w:rPr>
          <w:b/>
          <w:color w:val="0070C0"/>
          <w:sz w:val="28"/>
        </w:rPr>
        <w:br w:type="page"/>
      </w:r>
      <w:r w:rsidR="00B9071F" w:rsidRPr="00E53977">
        <w:rPr>
          <w:b/>
          <w:color w:val="0070C0"/>
          <w:sz w:val="28"/>
        </w:rPr>
        <w:lastRenderedPageBreak/>
        <w:t xml:space="preserve">INDEX OF ACRONYMS </w:t>
      </w:r>
    </w:p>
    <w:tbl>
      <w:tblPr>
        <w:tblW w:w="0" w:type="auto"/>
        <w:tblLook w:val="04A0" w:firstRow="1" w:lastRow="0" w:firstColumn="1" w:lastColumn="0" w:noHBand="0" w:noVBand="1"/>
      </w:tblPr>
      <w:tblGrid>
        <w:gridCol w:w="1177"/>
        <w:gridCol w:w="7741"/>
      </w:tblGrid>
      <w:tr w:rsidR="00B9071F" w:rsidRPr="00E53977" w14:paraId="52F6D18E" w14:textId="77777777" w:rsidTr="00FF581B">
        <w:tc>
          <w:tcPr>
            <w:tcW w:w="0" w:type="auto"/>
            <w:shd w:val="clear" w:color="auto" w:fill="auto"/>
          </w:tcPr>
          <w:p w14:paraId="00BC2B6C" w14:textId="77777777" w:rsidR="00B9071F" w:rsidRPr="00E53977" w:rsidRDefault="00B9071F" w:rsidP="002771FB">
            <w:pPr>
              <w:pStyle w:val="NoSpacing"/>
              <w:widowControl w:val="0"/>
              <w:rPr>
                <w:rFonts w:cs="Times New Roman"/>
                <w:szCs w:val="24"/>
              </w:rPr>
            </w:pPr>
            <w:r w:rsidRPr="00E53977">
              <w:rPr>
                <w:rFonts w:cs="Times New Roman"/>
                <w:szCs w:val="24"/>
              </w:rPr>
              <w:t>AA</w:t>
            </w:r>
          </w:p>
        </w:tc>
        <w:tc>
          <w:tcPr>
            <w:tcW w:w="0" w:type="auto"/>
            <w:shd w:val="clear" w:color="auto" w:fill="auto"/>
          </w:tcPr>
          <w:p w14:paraId="4DDA8395" w14:textId="77777777" w:rsidR="00B9071F" w:rsidRPr="00E53977" w:rsidRDefault="00B9071F" w:rsidP="002771FB">
            <w:pPr>
              <w:pStyle w:val="NoSpacing"/>
              <w:widowControl w:val="0"/>
              <w:rPr>
                <w:rFonts w:cs="Times New Roman"/>
                <w:szCs w:val="24"/>
              </w:rPr>
            </w:pPr>
            <w:r w:rsidRPr="00E53977">
              <w:rPr>
                <w:rFonts w:cs="Times New Roman"/>
                <w:szCs w:val="24"/>
              </w:rPr>
              <w:t>Association Agreement (between EU and other country)</w:t>
            </w:r>
          </w:p>
        </w:tc>
      </w:tr>
      <w:tr w:rsidR="00B9071F" w:rsidRPr="00E53977" w14:paraId="4972BFC8" w14:textId="77777777" w:rsidTr="00FF581B">
        <w:tc>
          <w:tcPr>
            <w:tcW w:w="0" w:type="auto"/>
            <w:shd w:val="clear" w:color="auto" w:fill="auto"/>
          </w:tcPr>
          <w:p w14:paraId="61D22580" w14:textId="77777777" w:rsidR="00B9071F" w:rsidRPr="00E53977" w:rsidRDefault="00B9071F" w:rsidP="002771FB">
            <w:pPr>
              <w:pStyle w:val="NoSpacing"/>
              <w:widowControl w:val="0"/>
              <w:rPr>
                <w:rFonts w:cs="Times New Roman"/>
                <w:szCs w:val="24"/>
              </w:rPr>
            </w:pPr>
            <w:r w:rsidRPr="00E53977">
              <w:rPr>
                <w:rFonts w:cs="Times New Roman"/>
                <w:szCs w:val="24"/>
              </w:rPr>
              <w:t>ACDA</w:t>
            </w:r>
          </w:p>
        </w:tc>
        <w:tc>
          <w:tcPr>
            <w:tcW w:w="0" w:type="auto"/>
            <w:shd w:val="clear" w:color="auto" w:fill="auto"/>
          </w:tcPr>
          <w:p w14:paraId="55F59570" w14:textId="77777777" w:rsidR="00B9071F" w:rsidRPr="00E53977" w:rsidRDefault="00B9071F" w:rsidP="002771FB">
            <w:pPr>
              <w:pStyle w:val="NoSpacing"/>
              <w:widowControl w:val="0"/>
              <w:rPr>
                <w:rFonts w:cs="Times New Roman"/>
                <w:szCs w:val="24"/>
              </w:rPr>
            </w:pPr>
            <w:r w:rsidRPr="00E53977">
              <w:rPr>
                <w:rFonts w:cs="Times New Roman"/>
                <w:szCs w:val="24"/>
              </w:rPr>
              <w:t>Agriculture Development Cooperative Agency</w:t>
            </w:r>
          </w:p>
        </w:tc>
      </w:tr>
      <w:tr w:rsidR="00B9071F" w:rsidRPr="00E53977" w14:paraId="4589DB19" w14:textId="77777777" w:rsidTr="00FF581B">
        <w:tc>
          <w:tcPr>
            <w:tcW w:w="0" w:type="auto"/>
            <w:shd w:val="clear" w:color="auto" w:fill="auto"/>
          </w:tcPr>
          <w:p w14:paraId="52342A2E" w14:textId="77777777" w:rsidR="00B9071F" w:rsidRPr="00E53977" w:rsidRDefault="00B9071F" w:rsidP="002771FB">
            <w:pPr>
              <w:pStyle w:val="NoSpacing"/>
              <w:widowControl w:val="0"/>
              <w:rPr>
                <w:rFonts w:cs="Times New Roman"/>
                <w:szCs w:val="24"/>
              </w:rPr>
            </w:pPr>
            <w:r w:rsidRPr="00E53977">
              <w:rPr>
                <w:rFonts w:cs="Times New Roman"/>
                <w:szCs w:val="24"/>
              </w:rPr>
              <w:t>BIP</w:t>
            </w:r>
          </w:p>
        </w:tc>
        <w:tc>
          <w:tcPr>
            <w:tcW w:w="0" w:type="auto"/>
            <w:shd w:val="clear" w:color="auto" w:fill="auto"/>
          </w:tcPr>
          <w:p w14:paraId="36430E56" w14:textId="77777777" w:rsidR="00B9071F" w:rsidRPr="00E53977" w:rsidRDefault="00B9071F" w:rsidP="002771FB">
            <w:pPr>
              <w:pStyle w:val="NoSpacing"/>
              <w:widowControl w:val="0"/>
              <w:rPr>
                <w:rFonts w:cs="Times New Roman"/>
                <w:szCs w:val="24"/>
              </w:rPr>
            </w:pPr>
            <w:r w:rsidRPr="00E53977">
              <w:rPr>
                <w:rFonts w:cs="Times New Roman"/>
                <w:szCs w:val="24"/>
              </w:rPr>
              <w:t>Border Inspection Point/Post</w:t>
            </w:r>
          </w:p>
        </w:tc>
      </w:tr>
      <w:tr w:rsidR="00B9071F" w:rsidRPr="00E53977" w14:paraId="35FB48B5" w14:textId="77777777" w:rsidTr="00FF581B">
        <w:tc>
          <w:tcPr>
            <w:tcW w:w="0" w:type="auto"/>
            <w:shd w:val="clear" w:color="auto" w:fill="auto"/>
          </w:tcPr>
          <w:p w14:paraId="54A73076" w14:textId="77777777" w:rsidR="00B9071F" w:rsidRPr="00E53977" w:rsidRDefault="00B9071F" w:rsidP="002771FB">
            <w:pPr>
              <w:pStyle w:val="NoSpacing"/>
              <w:widowControl w:val="0"/>
              <w:rPr>
                <w:rFonts w:cs="Times New Roman"/>
                <w:szCs w:val="24"/>
              </w:rPr>
            </w:pPr>
            <w:r w:rsidRPr="00E53977">
              <w:rPr>
                <w:rFonts w:cs="Times New Roman"/>
                <w:szCs w:val="24"/>
              </w:rPr>
              <w:t>CIB</w:t>
            </w:r>
          </w:p>
        </w:tc>
        <w:tc>
          <w:tcPr>
            <w:tcW w:w="0" w:type="auto"/>
            <w:shd w:val="clear" w:color="auto" w:fill="auto"/>
          </w:tcPr>
          <w:p w14:paraId="2CFB0BAA" w14:textId="77777777" w:rsidR="00B9071F" w:rsidRPr="00E53977" w:rsidRDefault="00B9071F" w:rsidP="002771FB">
            <w:pPr>
              <w:pStyle w:val="NoSpacing"/>
              <w:widowControl w:val="0"/>
              <w:rPr>
                <w:rFonts w:cs="Times New Roman"/>
                <w:szCs w:val="24"/>
              </w:rPr>
            </w:pPr>
            <w:r w:rsidRPr="00E53977">
              <w:rPr>
                <w:rFonts w:cs="Times New Roman"/>
                <w:szCs w:val="24"/>
              </w:rPr>
              <w:t>Comprehensive Institution Building</w:t>
            </w:r>
          </w:p>
        </w:tc>
      </w:tr>
      <w:tr w:rsidR="00B9071F" w:rsidRPr="00E53977" w14:paraId="495F05D3" w14:textId="77777777" w:rsidTr="00FF581B">
        <w:tc>
          <w:tcPr>
            <w:tcW w:w="0" w:type="auto"/>
            <w:shd w:val="clear" w:color="auto" w:fill="auto"/>
          </w:tcPr>
          <w:p w14:paraId="04211A54" w14:textId="77777777" w:rsidR="00B9071F" w:rsidRPr="00E53977" w:rsidRDefault="00B9071F" w:rsidP="002771FB">
            <w:pPr>
              <w:pStyle w:val="NoSpacing"/>
              <w:widowControl w:val="0"/>
              <w:rPr>
                <w:rFonts w:cs="Times New Roman"/>
                <w:szCs w:val="24"/>
              </w:rPr>
            </w:pPr>
            <w:r w:rsidRPr="00E53977">
              <w:rPr>
                <w:rFonts w:cs="Times New Roman"/>
                <w:szCs w:val="24"/>
              </w:rPr>
              <w:t>CSO</w:t>
            </w:r>
          </w:p>
        </w:tc>
        <w:tc>
          <w:tcPr>
            <w:tcW w:w="0" w:type="auto"/>
            <w:shd w:val="clear" w:color="auto" w:fill="auto"/>
          </w:tcPr>
          <w:p w14:paraId="04FBC270" w14:textId="77777777" w:rsidR="00B9071F" w:rsidRPr="00E53977" w:rsidRDefault="00B9071F" w:rsidP="002771FB">
            <w:pPr>
              <w:pStyle w:val="NoSpacing"/>
              <w:widowControl w:val="0"/>
              <w:ind w:right="-561"/>
              <w:rPr>
                <w:rFonts w:cs="Times New Roman"/>
                <w:szCs w:val="24"/>
              </w:rPr>
            </w:pPr>
            <w:r w:rsidRPr="00E53977">
              <w:rPr>
                <w:rFonts w:cs="Times New Roman"/>
                <w:szCs w:val="24"/>
              </w:rPr>
              <w:t>Civil Society Organization</w:t>
            </w:r>
          </w:p>
        </w:tc>
      </w:tr>
      <w:tr w:rsidR="00B9071F" w:rsidRPr="00E53977" w14:paraId="034454CD" w14:textId="77777777" w:rsidTr="00FF581B">
        <w:tc>
          <w:tcPr>
            <w:tcW w:w="0" w:type="auto"/>
            <w:shd w:val="clear" w:color="auto" w:fill="auto"/>
          </w:tcPr>
          <w:p w14:paraId="5D6F3FE6" w14:textId="77777777" w:rsidR="00B9071F" w:rsidRPr="00E53977" w:rsidRDefault="00B9071F" w:rsidP="002771FB">
            <w:pPr>
              <w:pStyle w:val="NoSpacing"/>
              <w:widowControl w:val="0"/>
              <w:rPr>
                <w:rFonts w:cs="Times New Roman"/>
                <w:szCs w:val="24"/>
              </w:rPr>
            </w:pPr>
            <w:r w:rsidRPr="00E53977">
              <w:rPr>
                <w:rFonts w:cs="Times New Roman"/>
                <w:szCs w:val="24"/>
              </w:rPr>
              <w:t>DCFTA</w:t>
            </w:r>
          </w:p>
        </w:tc>
        <w:tc>
          <w:tcPr>
            <w:tcW w:w="0" w:type="auto"/>
            <w:shd w:val="clear" w:color="auto" w:fill="auto"/>
          </w:tcPr>
          <w:p w14:paraId="0FF34901" w14:textId="77777777" w:rsidR="00B9071F" w:rsidRPr="00E53977" w:rsidRDefault="00B9071F" w:rsidP="002771FB">
            <w:pPr>
              <w:pStyle w:val="NoSpacing"/>
              <w:widowControl w:val="0"/>
              <w:ind w:right="-561"/>
              <w:rPr>
                <w:rFonts w:cs="Times New Roman"/>
                <w:szCs w:val="24"/>
              </w:rPr>
            </w:pPr>
            <w:r w:rsidRPr="00E53977">
              <w:rPr>
                <w:rFonts w:cs="Times New Roman"/>
                <w:szCs w:val="24"/>
              </w:rPr>
              <w:t>Deep and Comprehensive Free Trade Area (between EU and other country)</w:t>
            </w:r>
          </w:p>
        </w:tc>
      </w:tr>
      <w:tr w:rsidR="00B9071F" w:rsidRPr="00E53977" w14:paraId="55DE29A1" w14:textId="77777777" w:rsidTr="00FF581B">
        <w:tc>
          <w:tcPr>
            <w:tcW w:w="0" w:type="auto"/>
            <w:shd w:val="clear" w:color="auto" w:fill="auto"/>
          </w:tcPr>
          <w:p w14:paraId="6F76011B" w14:textId="77777777" w:rsidR="00B9071F" w:rsidRPr="00E53977" w:rsidRDefault="00B9071F" w:rsidP="002771FB">
            <w:pPr>
              <w:pStyle w:val="NoSpacing"/>
              <w:widowControl w:val="0"/>
              <w:rPr>
                <w:rFonts w:cs="Times New Roman"/>
                <w:szCs w:val="24"/>
              </w:rPr>
            </w:pPr>
            <w:r w:rsidRPr="00E53977">
              <w:rPr>
                <w:rFonts w:cs="Times New Roman"/>
                <w:szCs w:val="24"/>
              </w:rPr>
              <w:t>DG Sante</w:t>
            </w:r>
          </w:p>
        </w:tc>
        <w:tc>
          <w:tcPr>
            <w:tcW w:w="0" w:type="auto"/>
            <w:shd w:val="clear" w:color="auto" w:fill="auto"/>
          </w:tcPr>
          <w:p w14:paraId="1D155157" w14:textId="77777777" w:rsidR="00B9071F" w:rsidRPr="00E53977" w:rsidRDefault="00B9071F" w:rsidP="002771FB">
            <w:pPr>
              <w:pStyle w:val="NoSpacing"/>
              <w:widowControl w:val="0"/>
              <w:rPr>
                <w:rFonts w:cs="Times New Roman"/>
                <w:szCs w:val="24"/>
              </w:rPr>
            </w:pPr>
            <w:r w:rsidRPr="00E53977">
              <w:rPr>
                <w:rFonts w:cs="Times New Roman"/>
                <w:szCs w:val="24"/>
              </w:rPr>
              <w:t>Directorate General for Health and Food Safety (of the EU Commission)</w:t>
            </w:r>
          </w:p>
        </w:tc>
      </w:tr>
      <w:tr w:rsidR="00B9071F" w:rsidRPr="00E53977" w14:paraId="2BE994CC" w14:textId="77777777" w:rsidTr="00FF581B">
        <w:tc>
          <w:tcPr>
            <w:tcW w:w="0" w:type="auto"/>
            <w:shd w:val="clear" w:color="auto" w:fill="auto"/>
          </w:tcPr>
          <w:p w14:paraId="46EFFA14" w14:textId="77777777" w:rsidR="00B9071F" w:rsidRPr="00E53977" w:rsidRDefault="00B9071F" w:rsidP="002771FB">
            <w:pPr>
              <w:pStyle w:val="NoSpacing"/>
              <w:widowControl w:val="0"/>
              <w:rPr>
                <w:rFonts w:cs="Times New Roman"/>
                <w:szCs w:val="24"/>
              </w:rPr>
            </w:pPr>
            <w:r w:rsidRPr="00E53977">
              <w:rPr>
                <w:rFonts w:cs="Times New Roman"/>
                <w:szCs w:val="24"/>
              </w:rPr>
              <w:t>DTRA</w:t>
            </w:r>
          </w:p>
        </w:tc>
        <w:tc>
          <w:tcPr>
            <w:tcW w:w="0" w:type="auto"/>
            <w:shd w:val="clear" w:color="auto" w:fill="auto"/>
          </w:tcPr>
          <w:p w14:paraId="7F599D04" w14:textId="7D5326E5" w:rsidR="00B9071F" w:rsidRPr="00E53977" w:rsidRDefault="00B9071F" w:rsidP="002771FB">
            <w:pPr>
              <w:pStyle w:val="NoSpacing"/>
              <w:widowControl w:val="0"/>
              <w:rPr>
                <w:rFonts w:cs="Times New Roman"/>
                <w:szCs w:val="24"/>
              </w:rPr>
            </w:pPr>
            <w:r w:rsidRPr="00E53977">
              <w:rPr>
                <w:rFonts w:cs="Times New Roman"/>
                <w:szCs w:val="24"/>
              </w:rPr>
              <w:t xml:space="preserve">Defense Threat Reduction Agency (of the </w:t>
            </w:r>
            <w:r w:rsidR="00BC106A" w:rsidRPr="00E53977">
              <w:rPr>
                <w:rFonts w:cs="Times New Roman"/>
                <w:szCs w:val="24"/>
              </w:rPr>
              <w:t xml:space="preserve">US </w:t>
            </w:r>
            <w:r w:rsidRPr="00E53977">
              <w:rPr>
                <w:rFonts w:cs="Times New Roman"/>
                <w:szCs w:val="24"/>
              </w:rPr>
              <w:t>Department of Defense)</w:t>
            </w:r>
          </w:p>
        </w:tc>
      </w:tr>
      <w:tr w:rsidR="00B9071F" w:rsidRPr="00E53977" w14:paraId="23AF8727" w14:textId="77777777" w:rsidTr="00FF581B">
        <w:tc>
          <w:tcPr>
            <w:tcW w:w="0" w:type="auto"/>
            <w:shd w:val="clear" w:color="auto" w:fill="auto"/>
          </w:tcPr>
          <w:p w14:paraId="3AFE10C7" w14:textId="77777777" w:rsidR="00B9071F" w:rsidRPr="00E53977" w:rsidRDefault="00B9071F" w:rsidP="002771FB">
            <w:pPr>
              <w:pStyle w:val="NoSpacing"/>
              <w:widowControl w:val="0"/>
              <w:rPr>
                <w:rFonts w:cs="Times New Roman"/>
                <w:szCs w:val="24"/>
              </w:rPr>
            </w:pPr>
            <w:r w:rsidRPr="00E53977">
              <w:rPr>
                <w:rFonts w:cs="Times New Roman"/>
                <w:szCs w:val="24"/>
              </w:rPr>
              <w:t>EIDSS</w:t>
            </w:r>
          </w:p>
        </w:tc>
        <w:tc>
          <w:tcPr>
            <w:tcW w:w="0" w:type="auto"/>
            <w:shd w:val="clear" w:color="auto" w:fill="auto"/>
          </w:tcPr>
          <w:p w14:paraId="3FD684C0" w14:textId="77777777" w:rsidR="00B9071F" w:rsidRPr="00E53977" w:rsidRDefault="00B9071F" w:rsidP="002771FB">
            <w:pPr>
              <w:pStyle w:val="NoSpacing"/>
              <w:widowControl w:val="0"/>
              <w:rPr>
                <w:rFonts w:cs="Times New Roman"/>
                <w:szCs w:val="24"/>
              </w:rPr>
            </w:pPr>
            <w:r w:rsidRPr="00E53977">
              <w:rPr>
                <w:rFonts w:cs="Times New Roman"/>
                <w:szCs w:val="24"/>
              </w:rPr>
              <w:t>Electronic Integrated Disease Surveillance System</w:t>
            </w:r>
          </w:p>
        </w:tc>
      </w:tr>
      <w:tr w:rsidR="00B9071F" w:rsidRPr="00E53977" w14:paraId="49E213E4" w14:textId="77777777" w:rsidTr="00FF581B">
        <w:tc>
          <w:tcPr>
            <w:tcW w:w="0" w:type="auto"/>
            <w:shd w:val="clear" w:color="auto" w:fill="auto"/>
          </w:tcPr>
          <w:p w14:paraId="1FE0AEFF" w14:textId="77777777" w:rsidR="00B9071F" w:rsidRPr="00E53977" w:rsidRDefault="00B9071F" w:rsidP="002771FB">
            <w:pPr>
              <w:pStyle w:val="NoSpacing"/>
              <w:widowControl w:val="0"/>
              <w:rPr>
                <w:rFonts w:cs="Times New Roman"/>
                <w:szCs w:val="24"/>
              </w:rPr>
            </w:pPr>
            <w:r w:rsidRPr="00E53977">
              <w:rPr>
                <w:rFonts w:cs="Times New Roman"/>
                <w:szCs w:val="24"/>
              </w:rPr>
              <w:t>ENPARD</w:t>
            </w:r>
          </w:p>
        </w:tc>
        <w:tc>
          <w:tcPr>
            <w:tcW w:w="0" w:type="auto"/>
            <w:shd w:val="clear" w:color="auto" w:fill="auto"/>
          </w:tcPr>
          <w:p w14:paraId="09A63F96" w14:textId="77777777" w:rsidR="00B9071F" w:rsidRPr="00E53977" w:rsidRDefault="00B9071F" w:rsidP="002771FB">
            <w:pPr>
              <w:pStyle w:val="NoSpacing"/>
              <w:widowControl w:val="0"/>
              <w:rPr>
                <w:rFonts w:cs="Times New Roman"/>
                <w:szCs w:val="24"/>
              </w:rPr>
            </w:pPr>
            <w:r w:rsidRPr="00E53977">
              <w:rPr>
                <w:rFonts w:cs="Times New Roman"/>
                <w:szCs w:val="24"/>
              </w:rPr>
              <w:t>European Neighbourhood Programme for Agriculture and Rural Development</w:t>
            </w:r>
          </w:p>
        </w:tc>
      </w:tr>
      <w:tr w:rsidR="00B9071F" w:rsidRPr="00E53977" w14:paraId="01E1885B" w14:textId="77777777" w:rsidTr="00FF581B">
        <w:tc>
          <w:tcPr>
            <w:tcW w:w="0" w:type="auto"/>
            <w:shd w:val="clear" w:color="auto" w:fill="auto"/>
          </w:tcPr>
          <w:p w14:paraId="0121E6BA" w14:textId="77777777" w:rsidR="00B9071F" w:rsidRPr="00E53977" w:rsidRDefault="00B9071F" w:rsidP="002771FB">
            <w:pPr>
              <w:pStyle w:val="NoSpacing"/>
              <w:widowControl w:val="0"/>
              <w:rPr>
                <w:rFonts w:cs="Times New Roman"/>
                <w:szCs w:val="24"/>
              </w:rPr>
            </w:pPr>
            <w:r w:rsidRPr="00E53977">
              <w:rPr>
                <w:rFonts w:cs="Times New Roman"/>
                <w:szCs w:val="24"/>
              </w:rPr>
              <w:t>EPF</w:t>
            </w:r>
          </w:p>
        </w:tc>
        <w:tc>
          <w:tcPr>
            <w:tcW w:w="0" w:type="auto"/>
            <w:shd w:val="clear" w:color="auto" w:fill="auto"/>
          </w:tcPr>
          <w:p w14:paraId="0C9D1955" w14:textId="77777777" w:rsidR="00B9071F" w:rsidRPr="00E53977" w:rsidRDefault="00B9071F" w:rsidP="002771FB">
            <w:pPr>
              <w:pStyle w:val="NoSpacing"/>
              <w:widowControl w:val="0"/>
              <w:rPr>
                <w:rFonts w:cs="Times New Roman"/>
                <w:szCs w:val="24"/>
              </w:rPr>
            </w:pPr>
            <w:r w:rsidRPr="00E53977">
              <w:rPr>
                <w:rFonts w:cs="Times New Roman"/>
                <w:szCs w:val="24"/>
              </w:rPr>
              <w:t>Europe Foundation (previously Eurasia Partnership Foundation)</w:t>
            </w:r>
          </w:p>
        </w:tc>
      </w:tr>
      <w:tr w:rsidR="00B9071F" w:rsidRPr="00E53977" w14:paraId="60EA0BAB" w14:textId="77777777" w:rsidTr="00FF581B">
        <w:tc>
          <w:tcPr>
            <w:tcW w:w="0" w:type="auto"/>
            <w:shd w:val="clear" w:color="auto" w:fill="auto"/>
          </w:tcPr>
          <w:p w14:paraId="4438CC0F" w14:textId="77777777" w:rsidR="00B9071F" w:rsidRPr="00E53977" w:rsidRDefault="00B9071F" w:rsidP="002771FB">
            <w:pPr>
              <w:pStyle w:val="NoSpacing"/>
              <w:widowControl w:val="0"/>
              <w:rPr>
                <w:rFonts w:cs="Times New Roman"/>
                <w:szCs w:val="24"/>
              </w:rPr>
            </w:pPr>
            <w:r w:rsidRPr="00E53977">
              <w:rPr>
                <w:rFonts w:cs="Times New Roman"/>
                <w:szCs w:val="24"/>
              </w:rPr>
              <w:t>EU</w:t>
            </w:r>
            <w:r w:rsidRPr="00E53977">
              <w:rPr>
                <w:rFonts w:cs="Times New Roman"/>
                <w:szCs w:val="24"/>
              </w:rPr>
              <w:tab/>
            </w:r>
          </w:p>
        </w:tc>
        <w:tc>
          <w:tcPr>
            <w:tcW w:w="0" w:type="auto"/>
            <w:shd w:val="clear" w:color="auto" w:fill="auto"/>
          </w:tcPr>
          <w:p w14:paraId="51F9381A" w14:textId="77777777" w:rsidR="00B9071F" w:rsidRPr="00E53977" w:rsidRDefault="00B9071F" w:rsidP="002771FB">
            <w:pPr>
              <w:pStyle w:val="NoSpacing"/>
              <w:widowControl w:val="0"/>
              <w:rPr>
                <w:rFonts w:cs="Times New Roman"/>
                <w:szCs w:val="24"/>
              </w:rPr>
            </w:pPr>
            <w:r w:rsidRPr="00E53977">
              <w:rPr>
                <w:rFonts w:cs="Times New Roman"/>
                <w:szCs w:val="24"/>
              </w:rPr>
              <w:t>European Union</w:t>
            </w:r>
          </w:p>
        </w:tc>
      </w:tr>
      <w:tr w:rsidR="00B9071F" w:rsidRPr="00E53977" w14:paraId="3AE72899" w14:textId="77777777" w:rsidTr="00FF581B">
        <w:tc>
          <w:tcPr>
            <w:tcW w:w="0" w:type="auto"/>
            <w:shd w:val="clear" w:color="auto" w:fill="auto"/>
          </w:tcPr>
          <w:p w14:paraId="0DCE913E" w14:textId="77777777" w:rsidR="00B9071F" w:rsidRPr="00E53977" w:rsidRDefault="00B9071F" w:rsidP="002771FB">
            <w:pPr>
              <w:pStyle w:val="NoSpacing"/>
              <w:widowControl w:val="0"/>
              <w:rPr>
                <w:rFonts w:cs="Times New Roman"/>
                <w:szCs w:val="24"/>
              </w:rPr>
            </w:pPr>
            <w:r w:rsidRPr="00E53977">
              <w:rPr>
                <w:rFonts w:cs="Times New Roman"/>
                <w:szCs w:val="24"/>
              </w:rPr>
              <w:t>FAO</w:t>
            </w:r>
          </w:p>
        </w:tc>
        <w:tc>
          <w:tcPr>
            <w:tcW w:w="0" w:type="auto"/>
            <w:shd w:val="clear" w:color="auto" w:fill="auto"/>
          </w:tcPr>
          <w:p w14:paraId="48A69D23" w14:textId="77777777" w:rsidR="00B9071F" w:rsidRPr="00E53977" w:rsidRDefault="00B9071F" w:rsidP="002771FB">
            <w:pPr>
              <w:pStyle w:val="NoSpacing"/>
              <w:widowControl w:val="0"/>
              <w:rPr>
                <w:rFonts w:cs="Times New Roman"/>
                <w:szCs w:val="24"/>
              </w:rPr>
            </w:pPr>
            <w:r w:rsidRPr="00E53977">
              <w:rPr>
                <w:rFonts w:cs="Times New Roman"/>
                <w:szCs w:val="24"/>
              </w:rPr>
              <w:t>Food and Agriculture Organization (of the United Nations)</w:t>
            </w:r>
          </w:p>
        </w:tc>
      </w:tr>
      <w:tr w:rsidR="00B9071F" w:rsidRPr="00E53977" w14:paraId="14F74670" w14:textId="77777777" w:rsidTr="00FF581B">
        <w:tc>
          <w:tcPr>
            <w:tcW w:w="0" w:type="auto"/>
            <w:shd w:val="clear" w:color="auto" w:fill="auto"/>
          </w:tcPr>
          <w:p w14:paraId="510D4A1A" w14:textId="77777777" w:rsidR="00B9071F" w:rsidRPr="00E53977" w:rsidRDefault="00B9071F" w:rsidP="002771FB">
            <w:pPr>
              <w:pStyle w:val="NoSpacing"/>
              <w:widowControl w:val="0"/>
              <w:rPr>
                <w:rFonts w:cs="Times New Roman"/>
                <w:szCs w:val="24"/>
              </w:rPr>
            </w:pPr>
            <w:r w:rsidRPr="00E53977">
              <w:rPr>
                <w:rFonts w:cs="Times New Roman"/>
                <w:szCs w:val="24"/>
              </w:rPr>
              <w:t>FBO</w:t>
            </w:r>
          </w:p>
        </w:tc>
        <w:tc>
          <w:tcPr>
            <w:tcW w:w="0" w:type="auto"/>
            <w:shd w:val="clear" w:color="auto" w:fill="auto"/>
          </w:tcPr>
          <w:p w14:paraId="05E09D18" w14:textId="77777777" w:rsidR="00B9071F" w:rsidRPr="00E53977" w:rsidRDefault="00B9071F" w:rsidP="002771FB">
            <w:pPr>
              <w:pStyle w:val="NoSpacing"/>
              <w:widowControl w:val="0"/>
              <w:rPr>
                <w:rFonts w:cs="Times New Roman"/>
                <w:szCs w:val="24"/>
              </w:rPr>
            </w:pPr>
            <w:r w:rsidRPr="00E53977">
              <w:rPr>
                <w:rFonts w:cs="Times New Roman"/>
                <w:szCs w:val="24"/>
              </w:rPr>
              <w:t>Food Business Operator</w:t>
            </w:r>
          </w:p>
        </w:tc>
      </w:tr>
      <w:tr w:rsidR="00B9071F" w:rsidRPr="00E53977" w14:paraId="000D3DA3" w14:textId="77777777" w:rsidTr="00FF581B">
        <w:tc>
          <w:tcPr>
            <w:tcW w:w="0" w:type="auto"/>
            <w:shd w:val="clear" w:color="auto" w:fill="auto"/>
          </w:tcPr>
          <w:p w14:paraId="6D55EA50" w14:textId="77777777" w:rsidR="00B9071F" w:rsidRPr="00E53977" w:rsidRDefault="00B9071F" w:rsidP="002771FB">
            <w:pPr>
              <w:pStyle w:val="NoSpacing"/>
              <w:widowControl w:val="0"/>
              <w:rPr>
                <w:rFonts w:cs="Times New Roman"/>
                <w:szCs w:val="24"/>
              </w:rPr>
            </w:pPr>
            <w:r w:rsidRPr="00E53977">
              <w:rPr>
                <w:rFonts w:cs="Times New Roman"/>
                <w:szCs w:val="24"/>
              </w:rPr>
              <w:t>FSSC</w:t>
            </w:r>
          </w:p>
        </w:tc>
        <w:tc>
          <w:tcPr>
            <w:tcW w:w="0" w:type="auto"/>
            <w:shd w:val="clear" w:color="auto" w:fill="auto"/>
          </w:tcPr>
          <w:p w14:paraId="140ADEAD" w14:textId="77777777" w:rsidR="00B9071F" w:rsidRPr="00E53977" w:rsidRDefault="00B9071F" w:rsidP="002771FB">
            <w:pPr>
              <w:pStyle w:val="NoSpacing"/>
              <w:widowControl w:val="0"/>
              <w:rPr>
                <w:rFonts w:cs="Times New Roman"/>
                <w:szCs w:val="24"/>
              </w:rPr>
            </w:pPr>
            <w:r w:rsidRPr="00E53977">
              <w:rPr>
                <w:rFonts w:cs="Times New Roman"/>
                <w:szCs w:val="24"/>
              </w:rPr>
              <w:t>Food Safety System Certification</w:t>
            </w:r>
          </w:p>
        </w:tc>
      </w:tr>
      <w:tr w:rsidR="00B9071F" w:rsidRPr="00E53977" w14:paraId="1135295C" w14:textId="77777777" w:rsidTr="00FF581B">
        <w:tc>
          <w:tcPr>
            <w:tcW w:w="0" w:type="auto"/>
            <w:shd w:val="clear" w:color="auto" w:fill="auto"/>
          </w:tcPr>
          <w:p w14:paraId="17023ED4" w14:textId="77777777" w:rsidR="00B9071F" w:rsidRPr="00E53977" w:rsidRDefault="00B9071F" w:rsidP="002771FB">
            <w:pPr>
              <w:pStyle w:val="NoSpacing"/>
              <w:widowControl w:val="0"/>
              <w:rPr>
                <w:rFonts w:cs="Times New Roman"/>
                <w:szCs w:val="24"/>
              </w:rPr>
            </w:pPr>
            <w:r w:rsidRPr="00E53977">
              <w:rPr>
                <w:rFonts w:cs="Times New Roman"/>
                <w:szCs w:val="24"/>
              </w:rPr>
              <w:t>FVO</w:t>
            </w:r>
          </w:p>
        </w:tc>
        <w:tc>
          <w:tcPr>
            <w:tcW w:w="0" w:type="auto"/>
            <w:shd w:val="clear" w:color="auto" w:fill="auto"/>
          </w:tcPr>
          <w:p w14:paraId="4C310FBA" w14:textId="77777777" w:rsidR="00B9071F" w:rsidRPr="00E53977" w:rsidRDefault="00B9071F" w:rsidP="002771FB">
            <w:pPr>
              <w:pStyle w:val="NoSpacing"/>
              <w:widowControl w:val="0"/>
              <w:rPr>
                <w:rFonts w:cs="Times New Roman"/>
                <w:szCs w:val="24"/>
              </w:rPr>
            </w:pPr>
            <w:r w:rsidRPr="00E53977">
              <w:rPr>
                <w:rFonts w:cs="Times New Roman"/>
                <w:szCs w:val="24"/>
              </w:rPr>
              <w:t>Food and Veterinary Office (of the DG Sante)</w:t>
            </w:r>
          </w:p>
        </w:tc>
      </w:tr>
      <w:tr w:rsidR="00B9071F" w:rsidRPr="00E53977" w14:paraId="3B7CC2EB" w14:textId="77777777" w:rsidTr="00FF581B">
        <w:tc>
          <w:tcPr>
            <w:tcW w:w="0" w:type="auto"/>
            <w:shd w:val="clear" w:color="auto" w:fill="auto"/>
          </w:tcPr>
          <w:p w14:paraId="3F806711" w14:textId="77777777" w:rsidR="00B9071F" w:rsidRPr="00E53977" w:rsidRDefault="00B9071F" w:rsidP="002771FB">
            <w:pPr>
              <w:pStyle w:val="NoSpacing"/>
              <w:widowControl w:val="0"/>
              <w:rPr>
                <w:rFonts w:cs="Times New Roman"/>
                <w:szCs w:val="24"/>
              </w:rPr>
            </w:pPr>
            <w:r w:rsidRPr="00E53977">
              <w:rPr>
                <w:rFonts w:cs="Times New Roman"/>
                <w:szCs w:val="24"/>
              </w:rPr>
              <w:t>GAC</w:t>
            </w:r>
          </w:p>
        </w:tc>
        <w:tc>
          <w:tcPr>
            <w:tcW w:w="0" w:type="auto"/>
            <w:shd w:val="clear" w:color="auto" w:fill="auto"/>
          </w:tcPr>
          <w:p w14:paraId="3BFEDD4E" w14:textId="77777777" w:rsidR="00B9071F" w:rsidRPr="00E53977" w:rsidRDefault="00B9071F" w:rsidP="002771FB">
            <w:pPr>
              <w:pStyle w:val="NoSpacing"/>
              <w:widowControl w:val="0"/>
              <w:rPr>
                <w:rFonts w:cs="Times New Roman"/>
                <w:szCs w:val="24"/>
              </w:rPr>
            </w:pPr>
            <w:r w:rsidRPr="00E53977">
              <w:rPr>
                <w:rFonts w:cs="Times New Roman"/>
                <w:szCs w:val="24"/>
              </w:rPr>
              <w:t>Georgian Accreditation Center, Unified National Body of Accreditation</w:t>
            </w:r>
          </w:p>
        </w:tc>
      </w:tr>
      <w:tr w:rsidR="00B9071F" w:rsidRPr="00E53977" w14:paraId="62FF877A" w14:textId="77777777" w:rsidTr="00FF581B">
        <w:tc>
          <w:tcPr>
            <w:tcW w:w="0" w:type="auto"/>
            <w:shd w:val="clear" w:color="auto" w:fill="auto"/>
          </w:tcPr>
          <w:p w14:paraId="3C4E7315" w14:textId="77777777" w:rsidR="00B9071F" w:rsidRPr="00E53977" w:rsidRDefault="00B9071F" w:rsidP="002771FB">
            <w:pPr>
              <w:pStyle w:val="NoSpacing"/>
              <w:widowControl w:val="0"/>
              <w:rPr>
                <w:rFonts w:cs="Times New Roman"/>
                <w:szCs w:val="24"/>
              </w:rPr>
            </w:pPr>
            <w:r w:rsidRPr="00E53977">
              <w:rPr>
                <w:rFonts w:cs="Times New Roman"/>
                <w:szCs w:val="24"/>
              </w:rPr>
              <w:t>GIS</w:t>
            </w:r>
          </w:p>
        </w:tc>
        <w:tc>
          <w:tcPr>
            <w:tcW w:w="0" w:type="auto"/>
            <w:shd w:val="clear" w:color="auto" w:fill="auto"/>
          </w:tcPr>
          <w:p w14:paraId="28A1D1EF" w14:textId="77777777" w:rsidR="00B9071F" w:rsidRPr="00E53977" w:rsidRDefault="00B9071F" w:rsidP="002771FB">
            <w:pPr>
              <w:pStyle w:val="NoSpacing"/>
              <w:widowControl w:val="0"/>
              <w:rPr>
                <w:rFonts w:cs="Times New Roman"/>
                <w:szCs w:val="24"/>
              </w:rPr>
            </w:pPr>
            <w:r w:rsidRPr="00E53977">
              <w:rPr>
                <w:rFonts w:cs="Times New Roman"/>
                <w:szCs w:val="24"/>
              </w:rPr>
              <w:t>Geographic Information System</w:t>
            </w:r>
          </w:p>
        </w:tc>
      </w:tr>
      <w:tr w:rsidR="00B9071F" w:rsidRPr="00E53977" w14:paraId="24625633" w14:textId="77777777" w:rsidTr="00FF581B">
        <w:tc>
          <w:tcPr>
            <w:tcW w:w="0" w:type="auto"/>
            <w:shd w:val="clear" w:color="auto" w:fill="auto"/>
          </w:tcPr>
          <w:p w14:paraId="7FFD425C" w14:textId="77777777" w:rsidR="00B9071F" w:rsidRPr="00E53977" w:rsidRDefault="00B9071F" w:rsidP="002771FB">
            <w:pPr>
              <w:pStyle w:val="NoSpacing"/>
              <w:widowControl w:val="0"/>
              <w:rPr>
                <w:rFonts w:cs="Times New Roman"/>
                <w:szCs w:val="24"/>
              </w:rPr>
            </w:pPr>
            <w:r w:rsidRPr="00E53977">
              <w:rPr>
                <w:rFonts w:cs="Times New Roman"/>
                <w:szCs w:val="24"/>
              </w:rPr>
              <w:t>GIZ</w:t>
            </w:r>
          </w:p>
        </w:tc>
        <w:tc>
          <w:tcPr>
            <w:tcW w:w="0" w:type="auto"/>
            <w:shd w:val="clear" w:color="auto" w:fill="auto"/>
          </w:tcPr>
          <w:p w14:paraId="31E7CAF8" w14:textId="77777777" w:rsidR="00B9071F" w:rsidRPr="00E53977" w:rsidRDefault="00B9071F" w:rsidP="002771FB">
            <w:pPr>
              <w:pStyle w:val="NoSpacing"/>
              <w:widowControl w:val="0"/>
              <w:rPr>
                <w:rFonts w:cs="Times New Roman"/>
                <w:szCs w:val="24"/>
              </w:rPr>
            </w:pPr>
            <w:r w:rsidRPr="00E53977">
              <w:rPr>
                <w:rFonts w:cs="Times New Roman"/>
                <w:szCs w:val="24"/>
              </w:rPr>
              <w:t>German Organization for International Cooperation</w:t>
            </w:r>
          </w:p>
        </w:tc>
      </w:tr>
      <w:tr w:rsidR="00B9071F" w:rsidRPr="00E53977" w14:paraId="6F1F26C2" w14:textId="77777777" w:rsidTr="00FF581B">
        <w:tc>
          <w:tcPr>
            <w:tcW w:w="0" w:type="auto"/>
            <w:shd w:val="clear" w:color="auto" w:fill="auto"/>
          </w:tcPr>
          <w:p w14:paraId="6B91AEA7" w14:textId="77777777" w:rsidR="00B9071F" w:rsidRPr="00E53977" w:rsidRDefault="00B9071F" w:rsidP="002771FB">
            <w:pPr>
              <w:pStyle w:val="NoSpacing"/>
              <w:widowControl w:val="0"/>
              <w:rPr>
                <w:rFonts w:cs="Times New Roman"/>
                <w:szCs w:val="24"/>
              </w:rPr>
            </w:pPr>
            <w:r w:rsidRPr="00E53977">
              <w:rPr>
                <w:rFonts w:cs="Times New Roman"/>
                <w:szCs w:val="24"/>
              </w:rPr>
              <w:t>GMO</w:t>
            </w:r>
          </w:p>
        </w:tc>
        <w:tc>
          <w:tcPr>
            <w:tcW w:w="0" w:type="auto"/>
            <w:shd w:val="clear" w:color="auto" w:fill="auto"/>
          </w:tcPr>
          <w:p w14:paraId="4EE62B7D" w14:textId="77777777" w:rsidR="00B9071F" w:rsidRPr="00E53977" w:rsidRDefault="00B9071F" w:rsidP="002771FB">
            <w:pPr>
              <w:pStyle w:val="NoSpacing"/>
              <w:widowControl w:val="0"/>
              <w:rPr>
                <w:rFonts w:cs="Times New Roman"/>
                <w:szCs w:val="24"/>
              </w:rPr>
            </w:pPr>
            <w:r w:rsidRPr="00E53977">
              <w:rPr>
                <w:rFonts w:cs="Times New Roman"/>
                <w:szCs w:val="24"/>
              </w:rPr>
              <w:t>Genetically Modified Organism</w:t>
            </w:r>
          </w:p>
        </w:tc>
      </w:tr>
      <w:tr w:rsidR="00B9071F" w:rsidRPr="00E53977" w14:paraId="21B89C19" w14:textId="77777777" w:rsidTr="00FF581B">
        <w:tc>
          <w:tcPr>
            <w:tcW w:w="0" w:type="auto"/>
            <w:shd w:val="clear" w:color="auto" w:fill="auto"/>
          </w:tcPr>
          <w:p w14:paraId="191EE434" w14:textId="77777777" w:rsidR="00B9071F" w:rsidRPr="00E53977" w:rsidRDefault="00B9071F" w:rsidP="002771FB">
            <w:pPr>
              <w:pStyle w:val="NoSpacing"/>
              <w:widowControl w:val="0"/>
              <w:rPr>
                <w:rFonts w:cs="Times New Roman"/>
                <w:szCs w:val="24"/>
              </w:rPr>
            </w:pPr>
            <w:r w:rsidRPr="00E53977">
              <w:rPr>
                <w:rFonts w:cs="Times New Roman"/>
                <w:szCs w:val="24"/>
              </w:rPr>
              <w:t>GoG</w:t>
            </w:r>
          </w:p>
        </w:tc>
        <w:tc>
          <w:tcPr>
            <w:tcW w:w="0" w:type="auto"/>
            <w:shd w:val="clear" w:color="auto" w:fill="auto"/>
          </w:tcPr>
          <w:p w14:paraId="51255EF4" w14:textId="77777777" w:rsidR="00B9071F" w:rsidRPr="00E53977" w:rsidRDefault="00B9071F" w:rsidP="002771FB">
            <w:pPr>
              <w:pStyle w:val="NoSpacing"/>
              <w:widowControl w:val="0"/>
              <w:rPr>
                <w:rFonts w:cs="Times New Roman"/>
                <w:szCs w:val="24"/>
              </w:rPr>
            </w:pPr>
            <w:r w:rsidRPr="00E53977">
              <w:rPr>
                <w:rFonts w:cs="Times New Roman"/>
                <w:szCs w:val="24"/>
              </w:rPr>
              <w:t>Government of Georgia</w:t>
            </w:r>
          </w:p>
        </w:tc>
      </w:tr>
      <w:tr w:rsidR="00B9071F" w:rsidRPr="00E53977" w14:paraId="083DB56F" w14:textId="77777777" w:rsidTr="00FF581B">
        <w:tc>
          <w:tcPr>
            <w:tcW w:w="0" w:type="auto"/>
            <w:shd w:val="clear" w:color="auto" w:fill="auto"/>
          </w:tcPr>
          <w:p w14:paraId="42491C4F" w14:textId="77777777" w:rsidR="00B9071F" w:rsidRPr="00E53977" w:rsidRDefault="00B9071F" w:rsidP="002771FB">
            <w:pPr>
              <w:pStyle w:val="NoSpacing"/>
              <w:widowControl w:val="0"/>
              <w:rPr>
                <w:rFonts w:cs="Times New Roman"/>
                <w:szCs w:val="24"/>
              </w:rPr>
            </w:pPr>
            <w:r w:rsidRPr="00E53977">
              <w:rPr>
                <w:rFonts w:cs="Times New Roman"/>
                <w:szCs w:val="24"/>
              </w:rPr>
              <w:t>GWP</w:t>
            </w:r>
          </w:p>
        </w:tc>
        <w:tc>
          <w:tcPr>
            <w:tcW w:w="0" w:type="auto"/>
            <w:shd w:val="clear" w:color="auto" w:fill="auto"/>
          </w:tcPr>
          <w:p w14:paraId="09CFE981" w14:textId="77777777" w:rsidR="00B9071F" w:rsidRPr="00E53977" w:rsidRDefault="00B9071F" w:rsidP="002771FB">
            <w:pPr>
              <w:pStyle w:val="NoSpacing"/>
              <w:widowControl w:val="0"/>
              <w:rPr>
                <w:rFonts w:cs="Times New Roman"/>
                <w:szCs w:val="24"/>
              </w:rPr>
            </w:pPr>
            <w:r w:rsidRPr="00E53977">
              <w:rPr>
                <w:rFonts w:cs="Times New Roman"/>
                <w:szCs w:val="24"/>
              </w:rPr>
              <w:t>Georgian Water and Power</w:t>
            </w:r>
          </w:p>
        </w:tc>
      </w:tr>
      <w:tr w:rsidR="00B9071F" w:rsidRPr="00E53977" w14:paraId="05B46C34" w14:textId="77777777" w:rsidTr="00FF581B">
        <w:tc>
          <w:tcPr>
            <w:tcW w:w="0" w:type="auto"/>
            <w:shd w:val="clear" w:color="auto" w:fill="auto"/>
          </w:tcPr>
          <w:p w14:paraId="4266264F" w14:textId="77777777" w:rsidR="00B9071F" w:rsidRPr="00E53977" w:rsidRDefault="00B9071F" w:rsidP="002771FB">
            <w:pPr>
              <w:pStyle w:val="NoSpacing"/>
              <w:widowControl w:val="0"/>
              <w:rPr>
                <w:rFonts w:cs="Times New Roman"/>
                <w:szCs w:val="24"/>
              </w:rPr>
            </w:pPr>
            <w:r w:rsidRPr="00E53977">
              <w:rPr>
                <w:rFonts w:cs="Times New Roman"/>
                <w:szCs w:val="24"/>
              </w:rPr>
              <w:t>HACCP</w:t>
            </w:r>
          </w:p>
        </w:tc>
        <w:tc>
          <w:tcPr>
            <w:tcW w:w="0" w:type="auto"/>
            <w:shd w:val="clear" w:color="auto" w:fill="auto"/>
          </w:tcPr>
          <w:p w14:paraId="63D88D5F" w14:textId="3A3B6963" w:rsidR="00B9071F" w:rsidRPr="00E53977" w:rsidRDefault="00B9071F" w:rsidP="002771FB">
            <w:pPr>
              <w:pStyle w:val="NoSpacing"/>
              <w:widowControl w:val="0"/>
              <w:rPr>
                <w:rFonts w:cs="Times New Roman"/>
                <w:szCs w:val="24"/>
              </w:rPr>
            </w:pPr>
            <w:r w:rsidRPr="00E53977">
              <w:rPr>
                <w:rFonts w:cs="Times New Roman"/>
                <w:szCs w:val="24"/>
              </w:rPr>
              <w:t xml:space="preserve">Hazard Analysis Critical Control Points </w:t>
            </w:r>
          </w:p>
        </w:tc>
      </w:tr>
      <w:tr w:rsidR="00B9071F" w:rsidRPr="00E53977" w14:paraId="65A3B692" w14:textId="77777777" w:rsidTr="00FF581B">
        <w:tc>
          <w:tcPr>
            <w:tcW w:w="0" w:type="auto"/>
            <w:shd w:val="clear" w:color="auto" w:fill="auto"/>
          </w:tcPr>
          <w:p w14:paraId="75A7AF93" w14:textId="77777777" w:rsidR="00B9071F" w:rsidRPr="00E53977" w:rsidRDefault="00B9071F" w:rsidP="002771FB">
            <w:pPr>
              <w:pStyle w:val="NoSpacing"/>
              <w:widowControl w:val="0"/>
              <w:rPr>
                <w:rFonts w:cs="Times New Roman"/>
                <w:szCs w:val="24"/>
              </w:rPr>
            </w:pPr>
            <w:r w:rsidRPr="00E53977">
              <w:rPr>
                <w:rFonts w:cs="Times New Roman"/>
                <w:szCs w:val="24"/>
              </w:rPr>
              <w:t>IFC</w:t>
            </w:r>
          </w:p>
        </w:tc>
        <w:tc>
          <w:tcPr>
            <w:tcW w:w="0" w:type="auto"/>
            <w:shd w:val="clear" w:color="auto" w:fill="auto"/>
          </w:tcPr>
          <w:p w14:paraId="3D078C72" w14:textId="77777777" w:rsidR="00B9071F" w:rsidRPr="00E53977" w:rsidRDefault="00B9071F" w:rsidP="002771FB">
            <w:pPr>
              <w:pStyle w:val="NoSpacing"/>
              <w:widowControl w:val="0"/>
              <w:rPr>
                <w:rFonts w:cs="Times New Roman"/>
                <w:szCs w:val="24"/>
              </w:rPr>
            </w:pPr>
            <w:r w:rsidRPr="00E53977">
              <w:rPr>
                <w:rFonts w:cs="Times New Roman"/>
                <w:szCs w:val="24"/>
              </w:rPr>
              <w:t>International Finance Corporation (of the World Bank Group)</w:t>
            </w:r>
          </w:p>
        </w:tc>
      </w:tr>
      <w:tr w:rsidR="00B9071F" w:rsidRPr="00E53977" w14:paraId="4D7783E8" w14:textId="77777777" w:rsidTr="00FF581B">
        <w:tc>
          <w:tcPr>
            <w:tcW w:w="0" w:type="auto"/>
            <w:shd w:val="clear" w:color="auto" w:fill="auto"/>
          </w:tcPr>
          <w:p w14:paraId="549FF1FA" w14:textId="77777777" w:rsidR="00B9071F" w:rsidRPr="00E53977" w:rsidRDefault="00B9071F" w:rsidP="002771FB">
            <w:pPr>
              <w:pStyle w:val="NoSpacing"/>
              <w:widowControl w:val="0"/>
              <w:rPr>
                <w:rFonts w:cs="Times New Roman"/>
                <w:szCs w:val="24"/>
              </w:rPr>
            </w:pPr>
            <w:r w:rsidRPr="00E53977">
              <w:rPr>
                <w:rFonts w:cs="Times New Roman"/>
                <w:szCs w:val="24"/>
              </w:rPr>
              <w:t>IRDP</w:t>
            </w:r>
          </w:p>
        </w:tc>
        <w:tc>
          <w:tcPr>
            <w:tcW w:w="0" w:type="auto"/>
            <w:shd w:val="clear" w:color="auto" w:fill="auto"/>
          </w:tcPr>
          <w:p w14:paraId="1712F617" w14:textId="49F795D2" w:rsidR="00B9071F" w:rsidRPr="00E53977" w:rsidRDefault="00B9071F" w:rsidP="002771FB">
            <w:pPr>
              <w:pStyle w:val="NoSpacing"/>
              <w:widowControl w:val="0"/>
              <w:rPr>
                <w:rFonts w:cs="Times New Roman"/>
                <w:szCs w:val="24"/>
              </w:rPr>
            </w:pPr>
            <w:r w:rsidRPr="00E53977">
              <w:rPr>
                <w:rFonts w:cs="Times New Roman"/>
                <w:szCs w:val="24"/>
              </w:rPr>
              <w:t xml:space="preserve">Institutional Reform and Development Plan </w:t>
            </w:r>
          </w:p>
        </w:tc>
      </w:tr>
      <w:tr w:rsidR="00B9071F" w:rsidRPr="00E53977" w14:paraId="605C871C" w14:textId="77777777" w:rsidTr="00FF581B">
        <w:tc>
          <w:tcPr>
            <w:tcW w:w="0" w:type="auto"/>
            <w:shd w:val="clear" w:color="auto" w:fill="auto"/>
          </w:tcPr>
          <w:p w14:paraId="7D0C33EB" w14:textId="77777777" w:rsidR="00B9071F" w:rsidRPr="00E53977" w:rsidRDefault="00B9071F" w:rsidP="002771FB">
            <w:pPr>
              <w:pStyle w:val="NoSpacing"/>
              <w:widowControl w:val="0"/>
              <w:rPr>
                <w:rFonts w:cs="Times New Roman"/>
                <w:szCs w:val="24"/>
              </w:rPr>
            </w:pPr>
            <w:r w:rsidRPr="00E53977">
              <w:rPr>
                <w:rFonts w:cs="Times New Roman"/>
                <w:szCs w:val="24"/>
              </w:rPr>
              <w:t>ISO</w:t>
            </w:r>
          </w:p>
        </w:tc>
        <w:tc>
          <w:tcPr>
            <w:tcW w:w="0" w:type="auto"/>
            <w:shd w:val="clear" w:color="auto" w:fill="auto"/>
          </w:tcPr>
          <w:p w14:paraId="5830BA00" w14:textId="77777777" w:rsidR="00B9071F" w:rsidRPr="00E53977" w:rsidRDefault="00B9071F" w:rsidP="002771FB">
            <w:pPr>
              <w:pStyle w:val="NoSpacing"/>
              <w:widowControl w:val="0"/>
              <w:rPr>
                <w:rFonts w:cs="Times New Roman"/>
                <w:szCs w:val="24"/>
              </w:rPr>
            </w:pPr>
            <w:r w:rsidRPr="00E53977">
              <w:rPr>
                <w:rFonts w:cs="Times New Roman"/>
                <w:szCs w:val="24"/>
              </w:rPr>
              <w:t>International Organization for Standardization</w:t>
            </w:r>
          </w:p>
        </w:tc>
      </w:tr>
      <w:tr w:rsidR="00B9071F" w:rsidRPr="00E53977" w14:paraId="12F2589C" w14:textId="77777777" w:rsidTr="00FF581B">
        <w:tc>
          <w:tcPr>
            <w:tcW w:w="0" w:type="auto"/>
            <w:shd w:val="clear" w:color="auto" w:fill="auto"/>
          </w:tcPr>
          <w:p w14:paraId="58B839B4" w14:textId="77777777" w:rsidR="00B9071F" w:rsidRPr="00E53977" w:rsidRDefault="00B9071F" w:rsidP="002771FB">
            <w:pPr>
              <w:pStyle w:val="NoSpacing"/>
              <w:widowControl w:val="0"/>
              <w:rPr>
                <w:rFonts w:cs="Times New Roman"/>
                <w:szCs w:val="24"/>
              </w:rPr>
            </w:pPr>
            <w:r w:rsidRPr="00E53977">
              <w:rPr>
                <w:rFonts w:cs="Times New Roman"/>
                <w:szCs w:val="24"/>
              </w:rPr>
              <w:t>LMA</w:t>
            </w:r>
          </w:p>
        </w:tc>
        <w:tc>
          <w:tcPr>
            <w:tcW w:w="0" w:type="auto"/>
            <w:shd w:val="clear" w:color="auto" w:fill="auto"/>
          </w:tcPr>
          <w:p w14:paraId="2E8A83E3" w14:textId="77777777" w:rsidR="00B9071F" w:rsidRPr="00E53977" w:rsidRDefault="00B9071F" w:rsidP="002771FB">
            <w:pPr>
              <w:pStyle w:val="NoSpacing"/>
              <w:widowControl w:val="0"/>
              <w:rPr>
                <w:rFonts w:cs="Times New Roman"/>
                <w:szCs w:val="24"/>
              </w:rPr>
            </w:pPr>
            <w:r w:rsidRPr="00E53977">
              <w:rPr>
                <w:rFonts w:cs="Times New Roman"/>
                <w:szCs w:val="24"/>
              </w:rPr>
              <w:t>Laboratory of the Ministry of Environmental Protection and Agriculture</w:t>
            </w:r>
          </w:p>
        </w:tc>
      </w:tr>
      <w:tr w:rsidR="00B9071F" w:rsidRPr="00E53977" w14:paraId="08AC789E" w14:textId="77777777" w:rsidTr="00FF581B">
        <w:tc>
          <w:tcPr>
            <w:tcW w:w="0" w:type="auto"/>
            <w:shd w:val="clear" w:color="auto" w:fill="auto"/>
          </w:tcPr>
          <w:p w14:paraId="763E1489" w14:textId="77777777" w:rsidR="00B9071F" w:rsidRPr="00E53977" w:rsidRDefault="00B9071F" w:rsidP="002771FB">
            <w:pPr>
              <w:pStyle w:val="NoSpacing"/>
              <w:widowControl w:val="0"/>
              <w:rPr>
                <w:rFonts w:cs="Times New Roman"/>
                <w:szCs w:val="24"/>
              </w:rPr>
            </w:pPr>
            <w:r w:rsidRPr="00E53977">
              <w:rPr>
                <w:rFonts w:cs="Times New Roman"/>
                <w:szCs w:val="24"/>
              </w:rPr>
              <w:t>MLHSA</w:t>
            </w:r>
          </w:p>
        </w:tc>
        <w:tc>
          <w:tcPr>
            <w:tcW w:w="0" w:type="auto"/>
            <w:shd w:val="clear" w:color="auto" w:fill="auto"/>
          </w:tcPr>
          <w:p w14:paraId="46A6D0FE" w14:textId="77777777" w:rsidR="00B9071F" w:rsidRPr="00E53977" w:rsidRDefault="00B9071F" w:rsidP="002771FB">
            <w:pPr>
              <w:pStyle w:val="NoSpacing"/>
              <w:widowControl w:val="0"/>
              <w:rPr>
                <w:rFonts w:cs="Times New Roman"/>
                <w:szCs w:val="24"/>
              </w:rPr>
            </w:pPr>
            <w:r w:rsidRPr="00E53977">
              <w:rPr>
                <w:rFonts w:cs="Times New Roman"/>
                <w:szCs w:val="24"/>
              </w:rPr>
              <w:t>Ministry of Labor, Health and Social Affairs (of Georgia)</w:t>
            </w:r>
          </w:p>
        </w:tc>
      </w:tr>
      <w:tr w:rsidR="00B9071F" w:rsidRPr="00E53977" w14:paraId="00E3021E" w14:textId="77777777" w:rsidTr="00FF581B">
        <w:tc>
          <w:tcPr>
            <w:tcW w:w="0" w:type="auto"/>
            <w:shd w:val="clear" w:color="auto" w:fill="auto"/>
          </w:tcPr>
          <w:p w14:paraId="5B9BFECB" w14:textId="77777777" w:rsidR="00B9071F" w:rsidRPr="00E53977" w:rsidRDefault="00B9071F" w:rsidP="002771FB">
            <w:pPr>
              <w:pStyle w:val="NoSpacing"/>
              <w:widowControl w:val="0"/>
              <w:rPr>
                <w:rFonts w:cs="Times New Roman"/>
                <w:szCs w:val="24"/>
              </w:rPr>
            </w:pPr>
            <w:r w:rsidRPr="00E53977">
              <w:rPr>
                <w:rFonts w:cs="Times New Roman"/>
                <w:szCs w:val="24"/>
              </w:rPr>
              <w:t>MEPA</w:t>
            </w:r>
          </w:p>
        </w:tc>
        <w:tc>
          <w:tcPr>
            <w:tcW w:w="0" w:type="auto"/>
            <w:shd w:val="clear" w:color="auto" w:fill="auto"/>
          </w:tcPr>
          <w:p w14:paraId="0A8A90D5" w14:textId="77777777" w:rsidR="00B9071F" w:rsidRPr="00E53977" w:rsidRDefault="00B9071F" w:rsidP="002771FB">
            <w:pPr>
              <w:pStyle w:val="NoSpacing"/>
              <w:widowControl w:val="0"/>
              <w:rPr>
                <w:rFonts w:cs="Times New Roman"/>
                <w:szCs w:val="24"/>
              </w:rPr>
            </w:pPr>
            <w:r w:rsidRPr="00E53977">
              <w:rPr>
                <w:rFonts w:cs="Times New Roman"/>
                <w:szCs w:val="24"/>
              </w:rPr>
              <w:t xml:space="preserve">Ministry of Environmental Protection and Agriculture </w:t>
            </w:r>
          </w:p>
        </w:tc>
      </w:tr>
      <w:tr w:rsidR="00B9071F" w:rsidRPr="00E53977" w14:paraId="17548D7E" w14:textId="77777777" w:rsidTr="00FF581B">
        <w:tc>
          <w:tcPr>
            <w:tcW w:w="0" w:type="auto"/>
            <w:shd w:val="clear" w:color="auto" w:fill="auto"/>
          </w:tcPr>
          <w:p w14:paraId="1FD4D7FF" w14:textId="77777777" w:rsidR="00B9071F" w:rsidRPr="00E53977" w:rsidRDefault="00B9071F" w:rsidP="002771FB">
            <w:pPr>
              <w:pStyle w:val="NoSpacing"/>
              <w:widowControl w:val="0"/>
              <w:rPr>
                <w:rFonts w:cs="Times New Roman"/>
                <w:szCs w:val="24"/>
              </w:rPr>
            </w:pPr>
            <w:r w:rsidRPr="00E53977">
              <w:rPr>
                <w:rFonts w:cs="Times New Roman"/>
                <w:szCs w:val="24"/>
              </w:rPr>
              <w:t>MoA</w:t>
            </w:r>
          </w:p>
        </w:tc>
        <w:tc>
          <w:tcPr>
            <w:tcW w:w="0" w:type="auto"/>
            <w:shd w:val="clear" w:color="auto" w:fill="auto"/>
          </w:tcPr>
          <w:p w14:paraId="436F13BA" w14:textId="77777777" w:rsidR="00B9071F" w:rsidRPr="00E53977" w:rsidRDefault="00B9071F" w:rsidP="002771FB">
            <w:pPr>
              <w:pStyle w:val="NoSpacing"/>
              <w:widowControl w:val="0"/>
              <w:rPr>
                <w:rFonts w:cs="Times New Roman"/>
                <w:szCs w:val="24"/>
              </w:rPr>
            </w:pPr>
            <w:r w:rsidRPr="00E53977">
              <w:rPr>
                <w:rFonts w:cs="Times New Roman"/>
                <w:szCs w:val="24"/>
              </w:rPr>
              <w:t>Ministry of Agriculture (of Georgia)</w:t>
            </w:r>
          </w:p>
        </w:tc>
      </w:tr>
      <w:tr w:rsidR="00B9071F" w:rsidRPr="00E53977" w14:paraId="410F7F66" w14:textId="77777777" w:rsidTr="00FF581B">
        <w:tc>
          <w:tcPr>
            <w:tcW w:w="0" w:type="auto"/>
            <w:shd w:val="clear" w:color="auto" w:fill="auto"/>
          </w:tcPr>
          <w:p w14:paraId="21C4DE83" w14:textId="77777777" w:rsidR="00B9071F" w:rsidRPr="00E53977" w:rsidRDefault="00B9071F" w:rsidP="002771FB">
            <w:pPr>
              <w:pStyle w:val="NoSpacing"/>
              <w:widowControl w:val="0"/>
              <w:rPr>
                <w:rFonts w:cs="Times New Roman"/>
                <w:szCs w:val="24"/>
              </w:rPr>
            </w:pPr>
            <w:r w:rsidRPr="00E53977">
              <w:rPr>
                <w:rFonts w:cs="Times New Roman"/>
                <w:szCs w:val="24"/>
              </w:rPr>
              <w:t>MoESD</w:t>
            </w:r>
          </w:p>
        </w:tc>
        <w:tc>
          <w:tcPr>
            <w:tcW w:w="0" w:type="auto"/>
            <w:shd w:val="clear" w:color="auto" w:fill="auto"/>
          </w:tcPr>
          <w:p w14:paraId="189902DC" w14:textId="77777777" w:rsidR="00B9071F" w:rsidRPr="00E53977" w:rsidRDefault="00B9071F" w:rsidP="002771FB">
            <w:pPr>
              <w:pStyle w:val="NoSpacing"/>
              <w:widowControl w:val="0"/>
              <w:rPr>
                <w:rFonts w:cs="Times New Roman"/>
                <w:szCs w:val="24"/>
              </w:rPr>
            </w:pPr>
            <w:r w:rsidRPr="00E53977">
              <w:rPr>
                <w:rFonts w:cs="Times New Roman"/>
                <w:szCs w:val="24"/>
              </w:rPr>
              <w:t>Ministry of Economy and Sustainable Development</w:t>
            </w:r>
          </w:p>
        </w:tc>
      </w:tr>
      <w:tr w:rsidR="00B9071F" w:rsidRPr="00E53977" w14:paraId="76349CF3" w14:textId="77777777" w:rsidTr="00FF581B">
        <w:tc>
          <w:tcPr>
            <w:tcW w:w="0" w:type="auto"/>
            <w:shd w:val="clear" w:color="auto" w:fill="auto"/>
          </w:tcPr>
          <w:p w14:paraId="0A973EDB" w14:textId="77777777" w:rsidR="00B9071F" w:rsidRPr="00E53977" w:rsidRDefault="00B9071F" w:rsidP="002771FB">
            <w:pPr>
              <w:pStyle w:val="NoSpacing"/>
              <w:widowControl w:val="0"/>
              <w:rPr>
                <w:rFonts w:cs="Times New Roman"/>
                <w:szCs w:val="24"/>
              </w:rPr>
            </w:pPr>
            <w:r w:rsidRPr="00E53977">
              <w:rPr>
                <w:rFonts w:cs="Times New Roman"/>
                <w:szCs w:val="24"/>
              </w:rPr>
              <w:t>MoF</w:t>
            </w:r>
          </w:p>
        </w:tc>
        <w:tc>
          <w:tcPr>
            <w:tcW w:w="0" w:type="auto"/>
            <w:shd w:val="clear" w:color="auto" w:fill="auto"/>
          </w:tcPr>
          <w:p w14:paraId="67530005" w14:textId="77777777" w:rsidR="00B9071F" w:rsidRPr="00E53977" w:rsidRDefault="00B9071F" w:rsidP="002771FB">
            <w:pPr>
              <w:pStyle w:val="NoSpacing"/>
              <w:widowControl w:val="0"/>
              <w:rPr>
                <w:rFonts w:cs="Times New Roman"/>
                <w:szCs w:val="24"/>
              </w:rPr>
            </w:pPr>
            <w:r w:rsidRPr="00E53977">
              <w:rPr>
                <w:rFonts w:cs="Times New Roman"/>
                <w:szCs w:val="24"/>
              </w:rPr>
              <w:t>Ministry of Finance</w:t>
            </w:r>
          </w:p>
        </w:tc>
      </w:tr>
      <w:tr w:rsidR="00B9071F" w:rsidRPr="00E53977" w14:paraId="53DB048B" w14:textId="77777777" w:rsidTr="00FF581B">
        <w:tc>
          <w:tcPr>
            <w:tcW w:w="0" w:type="auto"/>
            <w:shd w:val="clear" w:color="auto" w:fill="auto"/>
          </w:tcPr>
          <w:p w14:paraId="5B760E03" w14:textId="77777777" w:rsidR="00B9071F" w:rsidRPr="00E53977" w:rsidRDefault="00B9071F" w:rsidP="002771FB">
            <w:pPr>
              <w:pStyle w:val="NoSpacing"/>
              <w:widowControl w:val="0"/>
              <w:rPr>
                <w:rFonts w:cs="Times New Roman"/>
                <w:szCs w:val="24"/>
              </w:rPr>
            </w:pPr>
            <w:r w:rsidRPr="00E53977">
              <w:rPr>
                <w:rFonts w:cs="Times New Roman"/>
                <w:szCs w:val="24"/>
              </w:rPr>
              <w:t>MoIRD</w:t>
            </w:r>
          </w:p>
        </w:tc>
        <w:tc>
          <w:tcPr>
            <w:tcW w:w="0" w:type="auto"/>
            <w:shd w:val="clear" w:color="auto" w:fill="auto"/>
          </w:tcPr>
          <w:p w14:paraId="5B046D1E" w14:textId="77777777" w:rsidR="00B9071F" w:rsidRPr="00E53977" w:rsidRDefault="00B9071F" w:rsidP="002771FB">
            <w:pPr>
              <w:pStyle w:val="NoSpacing"/>
              <w:widowControl w:val="0"/>
              <w:rPr>
                <w:rFonts w:cs="Times New Roman"/>
                <w:szCs w:val="24"/>
              </w:rPr>
            </w:pPr>
            <w:r w:rsidRPr="00E53977">
              <w:rPr>
                <w:rFonts w:cs="Times New Roman"/>
                <w:szCs w:val="24"/>
              </w:rPr>
              <w:t>Ministry of Infrastructure and Regional Development</w:t>
            </w:r>
          </w:p>
        </w:tc>
      </w:tr>
      <w:tr w:rsidR="00B9071F" w:rsidRPr="00E53977" w14:paraId="5CE93F2F" w14:textId="77777777" w:rsidTr="00FF581B">
        <w:tc>
          <w:tcPr>
            <w:tcW w:w="0" w:type="auto"/>
            <w:shd w:val="clear" w:color="auto" w:fill="auto"/>
          </w:tcPr>
          <w:p w14:paraId="144A30E0" w14:textId="77777777" w:rsidR="00B9071F" w:rsidRPr="00E53977" w:rsidRDefault="00B9071F" w:rsidP="002771FB">
            <w:pPr>
              <w:pStyle w:val="NoSpacing"/>
              <w:widowControl w:val="0"/>
              <w:rPr>
                <w:rFonts w:cs="Times New Roman"/>
                <w:szCs w:val="24"/>
              </w:rPr>
            </w:pPr>
            <w:r w:rsidRPr="00E53977">
              <w:rPr>
                <w:rFonts w:cs="Times New Roman"/>
                <w:szCs w:val="24"/>
              </w:rPr>
              <w:t>NAITS</w:t>
            </w:r>
          </w:p>
        </w:tc>
        <w:tc>
          <w:tcPr>
            <w:tcW w:w="0" w:type="auto"/>
            <w:shd w:val="clear" w:color="auto" w:fill="auto"/>
          </w:tcPr>
          <w:p w14:paraId="7D41B5D2" w14:textId="77777777" w:rsidR="00B9071F" w:rsidRPr="00E53977" w:rsidRDefault="00B9071F" w:rsidP="002771FB">
            <w:pPr>
              <w:pStyle w:val="NoSpacing"/>
              <w:widowControl w:val="0"/>
              <w:rPr>
                <w:rFonts w:cs="Times New Roman"/>
                <w:szCs w:val="24"/>
              </w:rPr>
            </w:pPr>
            <w:r w:rsidRPr="00E53977">
              <w:rPr>
                <w:rFonts w:cs="Times New Roman"/>
                <w:szCs w:val="24"/>
              </w:rPr>
              <w:t>National Animal Identification and Traceability System</w:t>
            </w:r>
          </w:p>
        </w:tc>
      </w:tr>
      <w:tr w:rsidR="00B9071F" w:rsidRPr="00E53977" w14:paraId="0F6E0484" w14:textId="77777777" w:rsidTr="00FF581B">
        <w:tc>
          <w:tcPr>
            <w:tcW w:w="0" w:type="auto"/>
            <w:shd w:val="clear" w:color="auto" w:fill="auto"/>
          </w:tcPr>
          <w:p w14:paraId="7B29DEB0" w14:textId="77777777" w:rsidR="00B9071F" w:rsidRPr="00E53977" w:rsidRDefault="00B9071F" w:rsidP="002771FB">
            <w:pPr>
              <w:pStyle w:val="NoSpacing"/>
              <w:widowControl w:val="0"/>
              <w:rPr>
                <w:rFonts w:cs="Times New Roman"/>
                <w:szCs w:val="24"/>
              </w:rPr>
            </w:pPr>
            <w:r w:rsidRPr="00E53977">
              <w:rPr>
                <w:rFonts w:cs="Times New Roman"/>
                <w:szCs w:val="24"/>
              </w:rPr>
              <w:t>NCDC</w:t>
            </w:r>
          </w:p>
        </w:tc>
        <w:tc>
          <w:tcPr>
            <w:tcW w:w="0" w:type="auto"/>
            <w:shd w:val="clear" w:color="auto" w:fill="auto"/>
          </w:tcPr>
          <w:p w14:paraId="1051065E" w14:textId="77777777" w:rsidR="00B9071F" w:rsidRPr="00E53977" w:rsidRDefault="00B9071F" w:rsidP="002771FB">
            <w:pPr>
              <w:pStyle w:val="NoSpacing"/>
              <w:widowControl w:val="0"/>
              <w:rPr>
                <w:rFonts w:cs="Times New Roman"/>
                <w:szCs w:val="24"/>
              </w:rPr>
            </w:pPr>
            <w:r w:rsidRPr="00E53977">
              <w:rPr>
                <w:rFonts w:cs="Times New Roman"/>
                <w:szCs w:val="24"/>
              </w:rPr>
              <w:t>National Center of Disease Control and Prevention (of the MLHSA)</w:t>
            </w:r>
          </w:p>
        </w:tc>
      </w:tr>
      <w:tr w:rsidR="00B9071F" w:rsidRPr="00E53977" w14:paraId="5CEDF499" w14:textId="77777777" w:rsidTr="00FF581B">
        <w:tc>
          <w:tcPr>
            <w:tcW w:w="0" w:type="auto"/>
            <w:shd w:val="clear" w:color="auto" w:fill="auto"/>
          </w:tcPr>
          <w:p w14:paraId="0AAFF08E" w14:textId="77777777" w:rsidR="00B9071F" w:rsidRPr="00E53977" w:rsidRDefault="00B9071F" w:rsidP="002771FB">
            <w:pPr>
              <w:pStyle w:val="NoSpacing"/>
              <w:widowControl w:val="0"/>
              <w:rPr>
                <w:rFonts w:cs="Times New Roman"/>
                <w:szCs w:val="24"/>
              </w:rPr>
            </w:pPr>
            <w:r w:rsidRPr="00E53977">
              <w:rPr>
                <w:rFonts w:cs="Times New Roman"/>
                <w:szCs w:val="24"/>
              </w:rPr>
              <w:t>NFA</w:t>
            </w:r>
          </w:p>
        </w:tc>
        <w:tc>
          <w:tcPr>
            <w:tcW w:w="0" w:type="auto"/>
            <w:shd w:val="clear" w:color="auto" w:fill="auto"/>
          </w:tcPr>
          <w:p w14:paraId="1AAC3EB2" w14:textId="4117D29D" w:rsidR="00B9071F" w:rsidRPr="00E53977" w:rsidRDefault="00B9071F" w:rsidP="002771FB">
            <w:pPr>
              <w:pStyle w:val="NoSpacing"/>
              <w:widowControl w:val="0"/>
              <w:rPr>
                <w:rFonts w:cs="Times New Roman"/>
                <w:szCs w:val="24"/>
              </w:rPr>
            </w:pPr>
            <w:r w:rsidRPr="00E53977">
              <w:rPr>
                <w:rFonts w:cs="Times New Roman"/>
                <w:szCs w:val="24"/>
              </w:rPr>
              <w:t xml:space="preserve">National Food Agency of </w:t>
            </w:r>
            <w:r w:rsidR="00CA2294" w:rsidRPr="00E53977">
              <w:rPr>
                <w:rFonts w:cs="Times New Roman"/>
                <w:szCs w:val="24"/>
              </w:rPr>
              <w:t>MEPA</w:t>
            </w:r>
          </w:p>
        </w:tc>
      </w:tr>
      <w:tr w:rsidR="00B9071F" w:rsidRPr="00E53977" w14:paraId="5ED35170" w14:textId="77777777" w:rsidTr="00FF581B">
        <w:tc>
          <w:tcPr>
            <w:tcW w:w="0" w:type="auto"/>
            <w:shd w:val="clear" w:color="auto" w:fill="auto"/>
          </w:tcPr>
          <w:p w14:paraId="2FCD8BCB" w14:textId="77777777" w:rsidR="00B9071F" w:rsidRPr="00E53977" w:rsidRDefault="00B9071F" w:rsidP="002771FB">
            <w:pPr>
              <w:pStyle w:val="NoSpacing"/>
              <w:widowControl w:val="0"/>
              <w:rPr>
                <w:rFonts w:cs="Times New Roman"/>
                <w:szCs w:val="24"/>
              </w:rPr>
            </w:pPr>
            <w:r w:rsidRPr="00E53977">
              <w:rPr>
                <w:rFonts w:cs="Times New Roman"/>
                <w:szCs w:val="24"/>
              </w:rPr>
              <w:t>OIE</w:t>
            </w:r>
          </w:p>
        </w:tc>
        <w:tc>
          <w:tcPr>
            <w:tcW w:w="0" w:type="auto"/>
            <w:shd w:val="clear" w:color="auto" w:fill="auto"/>
          </w:tcPr>
          <w:p w14:paraId="7B78A809" w14:textId="77777777" w:rsidR="00B9071F" w:rsidRPr="00E53977" w:rsidRDefault="00B9071F" w:rsidP="002771FB">
            <w:pPr>
              <w:pStyle w:val="NoSpacing"/>
              <w:widowControl w:val="0"/>
              <w:rPr>
                <w:rFonts w:cs="Times New Roman"/>
                <w:szCs w:val="24"/>
              </w:rPr>
            </w:pPr>
            <w:r w:rsidRPr="00E53977">
              <w:rPr>
                <w:rFonts w:cs="Times New Roman"/>
                <w:szCs w:val="24"/>
              </w:rPr>
              <w:t>World Organization for Animal Health</w:t>
            </w:r>
          </w:p>
        </w:tc>
      </w:tr>
      <w:tr w:rsidR="00B9071F" w:rsidRPr="00E53977" w14:paraId="03AB0977" w14:textId="77777777" w:rsidTr="00FF581B">
        <w:tc>
          <w:tcPr>
            <w:tcW w:w="0" w:type="auto"/>
            <w:shd w:val="clear" w:color="auto" w:fill="auto"/>
          </w:tcPr>
          <w:p w14:paraId="6BE80C61" w14:textId="77777777" w:rsidR="00B9071F" w:rsidRPr="00E53977" w:rsidRDefault="00B9071F" w:rsidP="002771FB">
            <w:pPr>
              <w:pStyle w:val="NoSpacing"/>
              <w:widowControl w:val="0"/>
              <w:rPr>
                <w:rFonts w:cs="Times New Roman"/>
                <w:szCs w:val="24"/>
              </w:rPr>
            </w:pPr>
            <w:r w:rsidRPr="00E53977">
              <w:rPr>
                <w:rFonts w:cs="Times New Roman"/>
                <w:szCs w:val="24"/>
              </w:rPr>
              <w:t>RS</w:t>
            </w:r>
          </w:p>
        </w:tc>
        <w:tc>
          <w:tcPr>
            <w:tcW w:w="0" w:type="auto"/>
            <w:shd w:val="clear" w:color="auto" w:fill="auto"/>
          </w:tcPr>
          <w:p w14:paraId="402FC526" w14:textId="77777777" w:rsidR="00B9071F" w:rsidRPr="00E53977" w:rsidRDefault="00B9071F" w:rsidP="002771FB">
            <w:pPr>
              <w:pStyle w:val="NoSpacing"/>
              <w:widowControl w:val="0"/>
              <w:rPr>
                <w:rFonts w:cs="Times New Roman"/>
                <w:szCs w:val="24"/>
              </w:rPr>
            </w:pPr>
            <w:r w:rsidRPr="00E53977">
              <w:rPr>
                <w:rFonts w:cs="Times New Roman"/>
                <w:szCs w:val="24"/>
              </w:rPr>
              <w:t>Revenue Service of the Ministry of Finance of Georgia (responsible for BIPs)</w:t>
            </w:r>
          </w:p>
        </w:tc>
      </w:tr>
      <w:tr w:rsidR="00B9071F" w:rsidRPr="00E53977" w14:paraId="22947EEB" w14:textId="77777777" w:rsidTr="00FF581B">
        <w:tc>
          <w:tcPr>
            <w:tcW w:w="0" w:type="auto"/>
            <w:shd w:val="clear" w:color="auto" w:fill="auto"/>
          </w:tcPr>
          <w:p w14:paraId="5396D8B8" w14:textId="77777777" w:rsidR="00B9071F" w:rsidRPr="00E53977" w:rsidRDefault="00B9071F" w:rsidP="002771FB">
            <w:pPr>
              <w:pStyle w:val="NoSpacing"/>
              <w:widowControl w:val="0"/>
              <w:rPr>
                <w:rFonts w:cs="Times New Roman"/>
                <w:szCs w:val="24"/>
              </w:rPr>
            </w:pPr>
            <w:r w:rsidRPr="00E53977">
              <w:rPr>
                <w:rFonts w:cs="Times New Roman"/>
                <w:szCs w:val="24"/>
              </w:rPr>
              <w:t>RIA</w:t>
            </w:r>
          </w:p>
        </w:tc>
        <w:tc>
          <w:tcPr>
            <w:tcW w:w="0" w:type="auto"/>
            <w:shd w:val="clear" w:color="auto" w:fill="auto"/>
          </w:tcPr>
          <w:p w14:paraId="5D04F76A" w14:textId="77777777" w:rsidR="00B9071F" w:rsidRPr="00E53977" w:rsidRDefault="00B9071F" w:rsidP="002771FB">
            <w:pPr>
              <w:pStyle w:val="NoSpacing"/>
              <w:widowControl w:val="0"/>
              <w:rPr>
                <w:rFonts w:cs="Times New Roman"/>
                <w:szCs w:val="24"/>
              </w:rPr>
            </w:pPr>
            <w:r w:rsidRPr="00E53977">
              <w:rPr>
                <w:rFonts w:cs="Times New Roman"/>
                <w:szCs w:val="24"/>
              </w:rPr>
              <w:t>Regulatory Impact Assessment</w:t>
            </w:r>
          </w:p>
        </w:tc>
      </w:tr>
      <w:tr w:rsidR="00B9071F" w:rsidRPr="00E53977" w14:paraId="57C7BCD1" w14:textId="77777777" w:rsidTr="00FF581B">
        <w:tc>
          <w:tcPr>
            <w:tcW w:w="0" w:type="auto"/>
            <w:shd w:val="clear" w:color="auto" w:fill="auto"/>
          </w:tcPr>
          <w:p w14:paraId="35D5B5F1" w14:textId="77777777" w:rsidR="00B9071F" w:rsidRPr="00E53977" w:rsidRDefault="00B9071F" w:rsidP="002771FB">
            <w:pPr>
              <w:pStyle w:val="NoSpacing"/>
              <w:widowControl w:val="0"/>
              <w:rPr>
                <w:rFonts w:cs="Times New Roman"/>
                <w:szCs w:val="24"/>
              </w:rPr>
            </w:pPr>
            <w:r w:rsidRPr="00E53977">
              <w:rPr>
                <w:rFonts w:cs="Times New Roman"/>
                <w:szCs w:val="24"/>
              </w:rPr>
              <w:t>SOP</w:t>
            </w:r>
          </w:p>
        </w:tc>
        <w:tc>
          <w:tcPr>
            <w:tcW w:w="0" w:type="auto"/>
            <w:shd w:val="clear" w:color="auto" w:fill="auto"/>
          </w:tcPr>
          <w:p w14:paraId="62B1BDB5" w14:textId="77777777" w:rsidR="00B9071F" w:rsidRPr="00E53977" w:rsidRDefault="00B9071F" w:rsidP="002771FB">
            <w:pPr>
              <w:pStyle w:val="NoSpacing"/>
              <w:widowControl w:val="0"/>
              <w:rPr>
                <w:rFonts w:cs="Times New Roman"/>
                <w:szCs w:val="24"/>
              </w:rPr>
            </w:pPr>
            <w:r w:rsidRPr="00E53977">
              <w:rPr>
                <w:rFonts w:cs="Times New Roman"/>
                <w:szCs w:val="24"/>
              </w:rPr>
              <w:t>Standard Operating Procedure</w:t>
            </w:r>
          </w:p>
        </w:tc>
      </w:tr>
      <w:tr w:rsidR="00B9071F" w:rsidRPr="00E53977" w14:paraId="29B7CF8A" w14:textId="77777777" w:rsidTr="00FF581B">
        <w:tc>
          <w:tcPr>
            <w:tcW w:w="0" w:type="auto"/>
            <w:shd w:val="clear" w:color="auto" w:fill="auto"/>
          </w:tcPr>
          <w:p w14:paraId="24A385A1" w14:textId="77777777" w:rsidR="00B9071F" w:rsidRPr="00E53977" w:rsidRDefault="00B9071F" w:rsidP="002771FB">
            <w:pPr>
              <w:pStyle w:val="NoSpacing"/>
              <w:widowControl w:val="0"/>
              <w:rPr>
                <w:rFonts w:cs="Times New Roman"/>
                <w:szCs w:val="24"/>
              </w:rPr>
            </w:pPr>
            <w:r w:rsidRPr="00E53977">
              <w:rPr>
                <w:rFonts w:cs="Times New Roman"/>
                <w:szCs w:val="24"/>
              </w:rPr>
              <w:t>SPS</w:t>
            </w:r>
          </w:p>
        </w:tc>
        <w:tc>
          <w:tcPr>
            <w:tcW w:w="0" w:type="auto"/>
            <w:shd w:val="clear" w:color="auto" w:fill="auto"/>
          </w:tcPr>
          <w:p w14:paraId="304A33F3" w14:textId="77777777" w:rsidR="00B9071F" w:rsidRPr="00E53977" w:rsidRDefault="00B9071F" w:rsidP="002771FB">
            <w:pPr>
              <w:pStyle w:val="NoSpacing"/>
              <w:widowControl w:val="0"/>
              <w:rPr>
                <w:rFonts w:cs="Times New Roman"/>
                <w:szCs w:val="24"/>
              </w:rPr>
            </w:pPr>
            <w:r w:rsidRPr="00E53977">
              <w:rPr>
                <w:rFonts w:cs="Times New Roman"/>
                <w:szCs w:val="24"/>
              </w:rPr>
              <w:t>Sanitary and Phytosanitary (measures in the WTO and DCFTA agreements)</w:t>
            </w:r>
          </w:p>
        </w:tc>
      </w:tr>
      <w:tr w:rsidR="00B9071F" w:rsidRPr="00E53977" w14:paraId="51C41F26" w14:textId="77777777" w:rsidTr="00FF581B">
        <w:tc>
          <w:tcPr>
            <w:tcW w:w="0" w:type="auto"/>
            <w:shd w:val="clear" w:color="auto" w:fill="auto"/>
          </w:tcPr>
          <w:p w14:paraId="0BA1A7F2" w14:textId="77777777" w:rsidR="00B9071F" w:rsidRPr="00E53977" w:rsidRDefault="00B9071F" w:rsidP="002771FB">
            <w:pPr>
              <w:pStyle w:val="NoSpacing"/>
              <w:widowControl w:val="0"/>
              <w:rPr>
                <w:rFonts w:cs="Times New Roman"/>
                <w:szCs w:val="24"/>
              </w:rPr>
            </w:pPr>
            <w:r w:rsidRPr="00E53977">
              <w:rPr>
                <w:rFonts w:cs="Times New Roman"/>
                <w:szCs w:val="24"/>
              </w:rPr>
              <w:t>SRCA</w:t>
            </w:r>
          </w:p>
        </w:tc>
        <w:tc>
          <w:tcPr>
            <w:tcW w:w="0" w:type="auto"/>
            <w:shd w:val="clear" w:color="auto" w:fill="auto"/>
          </w:tcPr>
          <w:p w14:paraId="53B494FA" w14:textId="77777777" w:rsidR="00B9071F" w:rsidRPr="00E53977" w:rsidRDefault="00B9071F" w:rsidP="002771FB">
            <w:pPr>
              <w:pStyle w:val="NoSpacing"/>
              <w:widowControl w:val="0"/>
              <w:rPr>
                <w:rFonts w:cs="Times New Roman"/>
                <w:szCs w:val="24"/>
              </w:rPr>
            </w:pPr>
            <w:r w:rsidRPr="00E53977">
              <w:rPr>
                <w:rFonts w:cs="Times New Roman"/>
                <w:szCs w:val="24"/>
              </w:rPr>
              <w:t>Scientific Research Center of Agriculture (of the MEPA)</w:t>
            </w:r>
          </w:p>
        </w:tc>
      </w:tr>
      <w:tr w:rsidR="00B9071F" w:rsidRPr="00E53977" w14:paraId="602C875D" w14:textId="77777777" w:rsidTr="00FF581B">
        <w:tc>
          <w:tcPr>
            <w:tcW w:w="0" w:type="auto"/>
            <w:shd w:val="clear" w:color="auto" w:fill="auto"/>
          </w:tcPr>
          <w:p w14:paraId="6BEBD6F5" w14:textId="77777777" w:rsidR="00B9071F" w:rsidRPr="00E53977" w:rsidRDefault="00B9071F" w:rsidP="002771FB">
            <w:pPr>
              <w:pStyle w:val="NoSpacing"/>
              <w:widowControl w:val="0"/>
              <w:rPr>
                <w:rFonts w:cs="Times New Roman"/>
                <w:szCs w:val="24"/>
              </w:rPr>
            </w:pPr>
            <w:r w:rsidRPr="00E53977">
              <w:rPr>
                <w:rFonts w:cs="Times New Roman"/>
                <w:szCs w:val="24"/>
              </w:rPr>
              <w:t>TAIEX</w:t>
            </w:r>
          </w:p>
        </w:tc>
        <w:tc>
          <w:tcPr>
            <w:tcW w:w="0" w:type="auto"/>
            <w:shd w:val="clear" w:color="auto" w:fill="auto"/>
          </w:tcPr>
          <w:p w14:paraId="51A27342" w14:textId="40BF214F" w:rsidR="00B9071F" w:rsidRPr="00E53977" w:rsidRDefault="00B9071F" w:rsidP="002771FB">
            <w:pPr>
              <w:pStyle w:val="NoSpacing"/>
              <w:widowControl w:val="0"/>
              <w:rPr>
                <w:rFonts w:cs="Times New Roman"/>
                <w:szCs w:val="24"/>
              </w:rPr>
            </w:pPr>
            <w:r w:rsidRPr="00E53977">
              <w:rPr>
                <w:rFonts w:cs="Times New Roman"/>
                <w:szCs w:val="24"/>
              </w:rPr>
              <w:t xml:space="preserve">Technical Assistance and Information Exchange instrument </w:t>
            </w:r>
          </w:p>
        </w:tc>
      </w:tr>
      <w:tr w:rsidR="00B9071F" w:rsidRPr="00E53977" w14:paraId="3334C294" w14:textId="77777777" w:rsidTr="00FF581B">
        <w:tc>
          <w:tcPr>
            <w:tcW w:w="0" w:type="auto"/>
            <w:shd w:val="clear" w:color="auto" w:fill="auto"/>
          </w:tcPr>
          <w:p w14:paraId="2751D334" w14:textId="77777777" w:rsidR="00B9071F" w:rsidRPr="00E53977" w:rsidRDefault="00B9071F" w:rsidP="002771FB">
            <w:pPr>
              <w:pStyle w:val="NoSpacing"/>
              <w:widowControl w:val="0"/>
              <w:rPr>
                <w:rFonts w:cs="Times New Roman"/>
                <w:szCs w:val="24"/>
              </w:rPr>
            </w:pPr>
            <w:r w:rsidRPr="00E53977">
              <w:rPr>
                <w:rFonts w:cs="Times New Roman"/>
                <w:szCs w:val="24"/>
              </w:rPr>
              <w:t>UNDP</w:t>
            </w:r>
          </w:p>
        </w:tc>
        <w:tc>
          <w:tcPr>
            <w:tcW w:w="0" w:type="auto"/>
            <w:shd w:val="clear" w:color="auto" w:fill="auto"/>
          </w:tcPr>
          <w:p w14:paraId="09203242" w14:textId="77777777" w:rsidR="00B9071F" w:rsidRPr="00E53977" w:rsidRDefault="00B9071F" w:rsidP="002771FB">
            <w:pPr>
              <w:pStyle w:val="NoSpacing"/>
              <w:widowControl w:val="0"/>
              <w:rPr>
                <w:rFonts w:cs="Times New Roman"/>
                <w:szCs w:val="24"/>
              </w:rPr>
            </w:pPr>
            <w:r w:rsidRPr="00E53977">
              <w:rPr>
                <w:rFonts w:cs="Times New Roman"/>
                <w:szCs w:val="24"/>
              </w:rPr>
              <w:t>United Nations Development Programme</w:t>
            </w:r>
          </w:p>
        </w:tc>
      </w:tr>
      <w:tr w:rsidR="00B9071F" w:rsidRPr="00E53977" w14:paraId="216C55E9" w14:textId="77777777" w:rsidTr="00FF581B">
        <w:tc>
          <w:tcPr>
            <w:tcW w:w="0" w:type="auto"/>
            <w:shd w:val="clear" w:color="auto" w:fill="auto"/>
          </w:tcPr>
          <w:p w14:paraId="0A196EE0" w14:textId="77777777" w:rsidR="00B9071F" w:rsidRPr="00E53977" w:rsidRDefault="00B9071F" w:rsidP="002771FB">
            <w:pPr>
              <w:pStyle w:val="NoSpacing"/>
              <w:widowControl w:val="0"/>
              <w:rPr>
                <w:rFonts w:cs="Times New Roman"/>
                <w:szCs w:val="24"/>
              </w:rPr>
            </w:pPr>
            <w:r w:rsidRPr="00E53977">
              <w:rPr>
                <w:rFonts w:cs="Times New Roman"/>
                <w:szCs w:val="24"/>
              </w:rPr>
              <w:t>USAID</w:t>
            </w:r>
          </w:p>
        </w:tc>
        <w:tc>
          <w:tcPr>
            <w:tcW w:w="0" w:type="auto"/>
            <w:shd w:val="clear" w:color="auto" w:fill="auto"/>
          </w:tcPr>
          <w:p w14:paraId="0CBF4951" w14:textId="77777777" w:rsidR="00B9071F" w:rsidRPr="00E53977" w:rsidRDefault="00B9071F" w:rsidP="002771FB">
            <w:pPr>
              <w:pStyle w:val="NoSpacing"/>
              <w:widowControl w:val="0"/>
              <w:rPr>
                <w:rFonts w:cs="Times New Roman"/>
                <w:szCs w:val="24"/>
              </w:rPr>
            </w:pPr>
            <w:r w:rsidRPr="00E53977">
              <w:rPr>
                <w:rFonts w:cs="Times New Roman"/>
                <w:szCs w:val="24"/>
              </w:rPr>
              <w:t>United States Agency for International Development</w:t>
            </w:r>
          </w:p>
        </w:tc>
      </w:tr>
      <w:tr w:rsidR="00B9071F" w:rsidRPr="00E53977" w14:paraId="30A36EE4" w14:textId="77777777" w:rsidTr="00FF581B">
        <w:tc>
          <w:tcPr>
            <w:tcW w:w="0" w:type="auto"/>
            <w:shd w:val="clear" w:color="auto" w:fill="auto"/>
          </w:tcPr>
          <w:p w14:paraId="542888EF" w14:textId="77777777" w:rsidR="00B9071F" w:rsidRPr="00E53977" w:rsidRDefault="00B9071F" w:rsidP="002771FB">
            <w:pPr>
              <w:pStyle w:val="NoSpacing"/>
              <w:widowControl w:val="0"/>
              <w:rPr>
                <w:rFonts w:cs="Times New Roman"/>
                <w:szCs w:val="24"/>
              </w:rPr>
            </w:pPr>
            <w:r w:rsidRPr="00E53977">
              <w:rPr>
                <w:rFonts w:cs="Times New Roman"/>
                <w:szCs w:val="24"/>
              </w:rPr>
              <w:t>USDA</w:t>
            </w:r>
          </w:p>
        </w:tc>
        <w:tc>
          <w:tcPr>
            <w:tcW w:w="0" w:type="auto"/>
            <w:shd w:val="clear" w:color="auto" w:fill="auto"/>
          </w:tcPr>
          <w:p w14:paraId="321A28FE" w14:textId="77777777" w:rsidR="00B9071F" w:rsidRPr="00E53977" w:rsidRDefault="00B9071F" w:rsidP="002771FB">
            <w:pPr>
              <w:pStyle w:val="NoSpacing"/>
              <w:widowControl w:val="0"/>
              <w:rPr>
                <w:rFonts w:cs="Times New Roman"/>
                <w:szCs w:val="24"/>
              </w:rPr>
            </w:pPr>
            <w:r w:rsidRPr="00E53977">
              <w:rPr>
                <w:rFonts w:cs="Times New Roman"/>
                <w:szCs w:val="24"/>
              </w:rPr>
              <w:t>United States Department of Agriculture</w:t>
            </w:r>
          </w:p>
        </w:tc>
      </w:tr>
      <w:tr w:rsidR="00B9071F" w:rsidRPr="00E53977" w14:paraId="569AA572" w14:textId="77777777" w:rsidTr="00FF581B">
        <w:tc>
          <w:tcPr>
            <w:tcW w:w="0" w:type="auto"/>
            <w:shd w:val="clear" w:color="auto" w:fill="auto"/>
          </w:tcPr>
          <w:p w14:paraId="08E1F9C6" w14:textId="77777777" w:rsidR="00B9071F" w:rsidRPr="00E53977" w:rsidRDefault="00B9071F" w:rsidP="002771FB">
            <w:pPr>
              <w:pStyle w:val="NoSpacing"/>
              <w:widowControl w:val="0"/>
              <w:rPr>
                <w:rFonts w:cs="Times New Roman"/>
                <w:szCs w:val="24"/>
              </w:rPr>
            </w:pPr>
            <w:r w:rsidRPr="00E53977">
              <w:rPr>
                <w:rFonts w:cs="Times New Roman"/>
                <w:szCs w:val="24"/>
              </w:rPr>
              <w:t>UWSC</w:t>
            </w:r>
          </w:p>
        </w:tc>
        <w:tc>
          <w:tcPr>
            <w:tcW w:w="0" w:type="auto"/>
            <w:shd w:val="clear" w:color="auto" w:fill="auto"/>
          </w:tcPr>
          <w:p w14:paraId="6037C558" w14:textId="77777777" w:rsidR="00B9071F" w:rsidRPr="00E53977" w:rsidRDefault="00B9071F" w:rsidP="002771FB">
            <w:pPr>
              <w:pStyle w:val="NoSpacing"/>
              <w:widowControl w:val="0"/>
              <w:rPr>
                <w:rFonts w:cs="Times New Roman"/>
                <w:szCs w:val="24"/>
              </w:rPr>
            </w:pPr>
            <w:r w:rsidRPr="00E53977">
              <w:rPr>
                <w:rFonts w:cs="Times New Roman"/>
                <w:szCs w:val="24"/>
              </w:rPr>
              <w:t>United Water Supply Company of Georgia</w:t>
            </w:r>
          </w:p>
        </w:tc>
      </w:tr>
      <w:tr w:rsidR="00B9071F" w:rsidRPr="00E53977" w14:paraId="7115766F" w14:textId="77777777" w:rsidTr="00FF581B">
        <w:tc>
          <w:tcPr>
            <w:tcW w:w="0" w:type="auto"/>
            <w:shd w:val="clear" w:color="auto" w:fill="auto"/>
          </w:tcPr>
          <w:p w14:paraId="05C9F683" w14:textId="77777777" w:rsidR="00B9071F" w:rsidRPr="00E53977" w:rsidRDefault="00B9071F" w:rsidP="002771FB">
            <w:pPr>
              <w:pStyle w:val="NoSpacing"/>
              <w:widowControl w:val="0"/>
              <w:rPr>
                <w:rFonts w:cs="Times New Roman"/>
                <w:szCs w:val="24"/>
              </w:rPr>
            </w:pPr>
            <w:r w:rsidRPr="00E53977">
              <w:rPr>
                <w:rFonts w:cs="Times New Roman"/>
                <w:szCs w:val="24"/>
              </w:rPr>
              <w:t>VSP</w:t>
            </w:r>
          </w:p>
        </w:tc>
        <w:tc>
          <w:tcPr>
            <w:tcW w:w="0" w:type="auto"/>
            <w:shd w:val="clear" w:color="auto" w:fill="auto"/>
          </w:tcPr>
          <w:p w14:paraId="3002A8E0" w14:textId="77777777" w:rsidR="00B9071F" w:rsidRPr="00E53977" w:rsidRDefault="00B9071F" w:rsidP="002771FB">
            <w:pPr>
              <w:pStyle w:val="NoSpacing"/>
              <w:widowControl w:val="0"/>
              <w:rPr>
                <w:rFonts w:cs="Times New Roman"/>
                <w:szCs w:val="24"/>
              </w:rPr>
            </w:pPr>
            <w:r w:rsidRPr="00E53977">
              <w:rPr>
                <w:rFonts w:cs="Times New Roman"/>
                <w:szCs w:val="24"/>
              </w:rPr>
              <w:t>Veterinary Supervision Point</w:t>
            </w:r>
          </w:p>
        </w:tc>
      </w:tr>
    </w:tbl>
    <w:p w14:paraId="0498676F" w14:textId="0CF59E29" w:rsidR="00B9071F" w:rsidRPr="00E53977" w:rsidRDefault="00B9071F" w:rsidP="002771FB">
      <w:pPr>
        <w:pStyle w:val="Heading1"/>
        <w:widowControl w:val="0"/>
        <w:spacing w:line="240" w:lineRule="auto"/>
      </w:pPr>
      <w:bookmarkStart w:id="5" w:name="_Toc520906358"/>
      <w:bookmarkEnd w:id="1"/>
      <w:r w:rsidRPr="00E53977">
        <w:lastRenderedPageBreak/>
        <w:t>EXECUTIVE SUMMARY</w:t>
      </w:r>
      <w:bookmarkEnd w:id="5"/>
    </w:p>
    <w:p w14:paraId="65C4CC43" w14:textId="19584B2E" w:rsidR="00B9071F" w:rsidRPr="00E53977" w:rsidRDefault="00B9071F" w:rsidP="002771FB">
      <w:pPr>
        <w:widowControl w:val="0"/>
        <w:spacing w:line="240" w:lineRule="auto"/>
        <w:rPr>
          <w:rFonts w:cs="Times New Roman"/>
          <w:szCs w:val="24"/>
        </w:rPr>
      </w:pPr>
      <w:r w:rsidRPr="00E53977">
        <w:rPr>
          <w:rFonts w:cs="Times New Roman"/>
          <w:szCs w:val="24"/>
        </w:rPr>
        <w:t>This assessment represents Europe Foundation’s seventh annual assessment of the Government of Georgia’s (GoG’s) food safety regulatory system and reforms. As with prior Europe Foundation (EPF) annual assessments, the term “food safety” is used in its broader definition throughout this report, except where noted, to include not only the safety of food items, but also veterinary (animal health), phytosanitary (plant protection), and epidemiology (human health and foodborne illnesses)</w:t>
      </w:r>
      <w:r w:rsidR="001F1B89" w:rsidRPr="00E53977">
        <w:rPr>
          <w:rFonts w:cs="Times New Roman"/>
          <w:szCs w:val="24"/>
        </w:rPr>
        <w:t xml:space="preserve"> issues</w:t>
      </w:r>
      <w:r w:rsidRPr="00E53977">
        <w:rPr>
          <w:rFonts w:cs="Times New Roman"/>
          <w:szCs w:val="24"/>
        </w:rPr>
        <w:t>, which directly affect the quality and safety of Georgia’s food supplies and, therefore, consumers’ health.</w:t>
      </w:r>
    </w:p>
    <w:p w14:paraId="49DD165B" w14:textId="77777777" w:rsidR="00B9071F" w:rsidRPr="00E53977" w:rsidRDefault="00B9071F" w:rsidP="002771FB">
      <w:pPr>
        <w:widowControl w:val="0"/>
        <w:spacing w:before="240" w:line="240" w:lineRule="auto"/>
        <w:rPr>
          <w:szCs w:val="24"/>
        </w:rPr>
      </w:pPr>
      <w:r w:rsidRPr="00E53977">
        <w:rPr>
          <w:szCs w:val="24"/>
        </w:rPr>
        <w:t xml:space="preserve">This assessment report notes the achievements of the GoG in its efforts to establish a fully functional food safety system throughout the country to ensure safe food and health for Georgia’s consumers. This report also identifies areas where there are gaps in processes, mandates, implementation, program administration, etc., followed by a complete set of conclusions and recommendations for each institution involved in the reforms. </w:t>
      </w:r>
    </w:p>
    <w:p w14:paraId="41AF901A" w14:textId="76CB71F8" w:rsidR="00B9071F" w:rsidRPr="00E53977" w:rsidRDefault="00B9071F" w:rsidP="002771FB">
      <w:pPr>
        <w:widowControl w:val="0"/>
        <w:spacing w:line="240" w:lineRule="auto"/>
        <w:rPr>
          <w:szCs w:val="24"/>
        </w:rPr>
      </w:pPr>
      <w:r w:rsidRPr="00E53977">
        <w:rPr>
          <w:rFonts w:cs="Times New Roman"/>
          <w:szCs w:val="24"/>
        </w:rPr>
        <w:t xml:space="preserve">Although the GoG’s reform efforts to develop the nation’s food safety system has been faster and more systematic in 2017 than in any year since 2012, </w:t>
      </w:r>
      <w:r w:rsidRPr="00E53977">
        <w:rPr>
          <w:szCs w:val="24"/>
        </w:rPr>
        <w:t>there are many areas for which reforms have not been introduced yet, which results in continuing challenges and gaps within the system, ranging from the development of internal Standard Operating Procedures (SOPs) to the lack of clarity about which state entity has a mandate for a specific control activity. It is expected that, as the GoG continues to implement its reforms, resolving of these gaps will speed up according to the advancement of the DCFTA-AA Approximation plan 2015-2027.</w:t>
      </w:r>
      <w:r w:rsidR="00A0349A" w:rsidRPr="00E53977">
        <w:rPr>
          <w:szCs w:val="24"/>
        </w:rPr>
        <w:t xml:space="preserve"> However, there are a number of</w:t>
      </w:r>
      <w:r w:rsidR="00D53F6A" w:rsidRPr="00E53977">
        <w:rPr>
          <w:szCs w:val="24"/>
        </w:rPr>
        <w:t xml:space="preserve"> organizational, financial, and systemic challenges that must be addressed to ensure a successful implementation of the new reforms.</w:t>
      </w:r>
    </w:p>
    <w:p w14:paraId="073816A2" w14:textId="37768763" w:rsidR="00B9071F" w:rsidRPr="00E53977" w:rsidRDefault="00B9071F" w:rsidP="002771FB">
      <w:pPr>
        <w:widowControl w:val="0"/>
        <w:spacing w:line="240" w:lineRule="auto"/>
        <w:rPr>
          <w:rFonts w:cs="Times New Roman"/>
          <w:szCs w:val="24"/>
        </w:rPr>
      </w:pPr>
      <w:r w:rsidRPr="00E53977">
        <w:rPr>
          <w:szCs w:val="24"/>
        </w:rPr>
        <w:t xml:space="preserve">In 2017, the Ministry of Agriculture (MoA) completed 100% of </w:t>
      </w:r>
      <w:r w:rsidR="004A38D3" w:rsidRPr="00E53977">
        <w:rPr>
          <w:szCs w:val="24"/>
        </w:rPr>
        <w:t xml:space="preserve">an additional </w:t>
      </w:r>
      <w:r w:rsidRPr="00E53977">
        <w:rPr>
          <w:szCs w:val="24"/>
        </w:rPr>
        <w:t xml:space="preserve">19 normative acts </w:t>
      </w:r>
      <w:r w:rsidR="00A617B4" w:rsidRPr="00E53977">
        <w:rPr>
          <w:szCs w:val="24"/>
        </w:rPr>
        <w:t>included within this</w:t>
      </w:r>
      <w:r w:rsidRPr="00E53977">
        <w:rPr>
          <w:szCs w:val="24"/>
        </w:rPr>
        <w:t xml:space="preserve"> plan. This is a significant achievement, as the present Ministry of Environmental Protection and Agriculture (MEPA) has now approximated all 74 acts according to plan, with 38 related to food safety, 19 for veterinary standards, and 10 for phytosanitary protection.</w:t>
      </w:r>
      <w:r w:rsidRPr="00E53977">
        <w:rPr>
          <w:rFonts w:cs="Times New Roman"/>
          <w:szCs w:val="24"/>
        </w:rPr>
        <w:t xml:space="preserve"> </w:t>
      </w:r>
    </w:p>
    <w:p w14:paraId="0DC8E885" w14:textId="77777777" w:rsidR="00B9071F" w:rsidRPr="00E53977" w:rsidRDefault="00B9071F" w:rsidP="002771FB">
      <w:pPr>
        <w:widowControl w:val="0"/>
        <w:spacing w:line="240" w:lineRule="auto"/>
        <w:rPr>
          <w:rFonts w:cs="Times New Roman"/>
          <w:szCs w:val="24"/>
        </w:rPr>
      </w:pPr>
      <w:r w:rsidRPr="00E53977">
        <w:rPr>
          <w:rFonts w:cs="Times New Roman"/>
          <w:szCs w:val="24"/>
        </w:rPr>
        <w:t>The following high-level issues represent the key observations, conclusions and recommendations that the Government of Georgia should focus on throughout 2018:</w:t>
      </w:r>
    </w:p>
    <w:p w14:paraId="6F8CFB79" w14:textId="76486D76" w:rsidR="00B9071F" w:rsidRPr="00E53977" w:rsidRDefault="00B9071F" w:rsidP="002771FB">
      <w:pPr>
        <w:pStyle w:val="ListParagraph"/>
        <w:widowControl w:val="0"/>
        <w:numPr>
          <w:ilvl w:val="0"/>
          <w:numId w:val="37"/>
        </w:numPr>
        <w:pBdr>
          <w:bottom w:val="single" w:sz="4" w:space="1" w:color="auto"/>
        </w:pBdr>
        <w:spacing w:line="240" w:lineRule="auto"/>
        <w:ind w:left="360"/>
        <w:rPr>
          <w:rFonts w:cs="Times New Roman"/>
          <w:szCs w:val="24"/>
        </w:rPr>
      </w:pPr>
      <w:r w:rsidRPr="00E53977">
        <w:rPr>
          <w:rFonts w:cs="Times New Roman"/>
          <w:b/>
          <w:szCs w:val="24"/>
        </w:rPr>
        <w:t>Lack of Estimates of the Cost of Compliance for Public and Private Organizations</w:t>
      </w:r>
    </w:p>
    <w:p w14:paraId="0E9843E6" w14:textId="09B87463" w:rsidR="00B9071F" w:rsidRPr="00E53977" w:rsidRDefault="00B9071F" w:rsidP="002771FB">
      <w:pPr>
        <w:widowControl w:val="0"/>
        <w:spacing w:line="240" w:lineRule="auto"/>
      </w:pPr>
      <w:r w:rsidRPr="00E53977">
        <w:t xml:space="preserve">Based on interviews with GoG entities, the cost of compliance (for both the GoG and the private sector to comply with newly adopted acts) has not been adequately estimated as most of the approximated legislation has been introduced via a Governmental Decree rather than the Parliament’s passage of </w:t>
      </w:r>
      <w:r w:rsidR="00666307" w:rsidRPr="00E53977">
        <w:t>l</w:t>
      </w:r>
      <w:r w:rsidRPr="00E53977">
        <w:t>aw</w:t>
      </w:r>
      <w:r w:rsidR="00666307" w:rsidRPr="00E53977">
        <w:t>s</w:t>
      </w:r>
      <w:r w:rsidRPr="00E53977">
        <w:t xml:space="preserve">. This results in the GoG not being adequately empowered with the appropriate information, staffing, resources, and budget allocations to successfully implement the new mandates. Similarly, </w:t>
      </w:r>
      <w:r w:rsidR="00666307" w:rsidRPr="00E53977">
        <w:t>private firms</w:t>
      </w:r>
      <w:r w:rsidRPr="00E53977">
        <w:t xml:space="preserve"> cannot adequately plan their current and future expenditures in fixed assets and operations required to comply with legislation. </w:t>
      </w:r>
    </w:p>
    <w:p w14:paraId="0102125D" w14:textId="44C81AEF" w:rsidR="00451C29" w:rsidRPr="00E53977" w:rsidRDefault="00B9071F" w:rsidP="002771FB">
      <w:pPr>
        <w:widowControl w:val="0"/>
        <w:spacing w:line="240" w:lineRule="auto"/>
      </w:pPr>
      <w:r w:rsidRPr="00E53977">
        <w:t xml:space="preserve">The GoG should consider </w:t>
      </w:r>
      <w:r w:rsidR="00041908" w:rsidRPr="00E53977">
        <w:t xml:space="preserve">also </w:t>
      </w:r>
      <w:r w:rsidRPr="00E53977">
        <w:t xml:space="preserve">conducting Regulatory Impact Assessments (RIAs) for governmental decrees to estimate the cost of compliance for all </w:t>
      </w:r>
      <w:r w:rsidR="00041908" w:rsidRPr="00E53977">
        <w:t xml:space="preserve">GoG institutions </w:t>
      </w:r>
      <w:r w:rsidRPr="00E53977">
        <w:t>involved in the food safety system to ensure they are appropriately empowered with the resources to comply with the new mandates, as well as to estimate the cost of compliance for FBOs for the upcoming legal acts that will be approximated over the remaining period until 2027.</w:t>
      </w:r>
      <w:r w:rsidR="00E26317" w:rsidRPr="00E53977">
        <w:t xml:space="preserve"> </w:t>
      </w:r>
      <w:r w:rsidR="00451C29" w:rsidRPr="00451C29">
        <w:t xml:space="preserve">Due to the mismatch between the forecasted human resources demands (particularly for the new regulations coming into force in 2020) and the current budget, MEPA and especially NFA should work harder to convince the GoG to increase their resources for staffing and programmatic needs. </w:t>
      </w:r>
    </w:p>
    <w:p w14:paraId="0423394D" w14:textId="77777777" w:rsidR="00B9071F" w:rsidRPr="00E53977" w:rsidRDefault="00B9071F" w:rsidP="002771FB">
      <w:pPr>
        <w:pStyle w:val="ListParagraph"/>
        <w:widowControl w:val="0"/>
        <w:numPr>
          <w:ilvl w:val="0"/>
          <w:numId w:val="37"/>
        </w:numPr>
        <w:pBdr>
          <w:bottom w:val="single" w:sz="4" w:space="1" w:color="auto"/>
        </w:pBdr>
        <w:spacing w:line="240" w:lineRule="auto"/>
        <w:ind w:left="360"/>
        <w:rPr>
          <w:rFonts w:cs="Times New Roman"/>
          <w:b/>
          <w:szCs w:val="24"/>
        </w:rPr>
      </w:pPr>
      <w:r w:rsidRPr="00E53977">
        <w:rPr>
          <w:rFonts w:cs="Times New Roman"/>
          <w:b/>
          <w:szCs w:val="24"/>
        </w:rPr>
        <w:lastRenderedPageBreak/>
        <w:t>Long Transition Periods Prior to Enforcement of Harmonized Requirements</w:t>
      </w:r>
    </w:p>
    <w:p w14:paraId="5659DF44" w14:textId="43C87D49" w:rsidR="00B9071F" w:rsidRPr="00E53977" w:rsidRDefault="00B9071F" w:rsidP="002771FB">
      <w:pPr>
        <w:widowControl w:val="0"/>
        <w:spacing w:line="240" w:lineRule="auto"/>
        <w:rPr>
          <w:b/>
        </w:rPr>
      </w:pPr>
      <w:r w:rsidRPr="00E53977">
        <w:t xml:space="preserve">Many harmonized acts </w:t>
      </w:r>
      <w:r w:rsidR="00206ACA" w:rsidRPr="00E53977">
        <w:t xml:space="preserve">have </w:t>
      </w:r>
      <w:r w:rsidRPr="00E53977">
        <w:t xml:space="preserve">a transition period before full enforcement. In 2017, some </w:t>
      </w:r>
      <w:r w:rsidR="00941112" w:rsidRPr="00E53977">
        <w:t xml:space="preserve">had </w:t>
      </w:r>
      <w:r w:rsidRPr="00E53977">
        <w:t xml:space="preserve">transition periods </w:t>
      </w:r>
      <w:r w:rsidR="00941112" w:rsidRPr="00E53977">
        <w:t>of</w:t>
      </w:r>
      <w:r w:rsidRPr="00E53977">
        <w:t xml:space="preserve"> up to 6 years, which </w:t>
      </w:r>
      <w:r w:rsidR="00941112" w:rsidRPr="00E53977">
        <w:t xml:space="preserve">is </w:t>
      </w:r>
      <w:r w:rsidRPr="00E53977">
        <w:t xml:space="preserve">a significant increase from </w:t>
      </w:r>
      <w:r w:rsidR="00D4103B" w:rsidRPr="00E53977">
        <w:t xml:space="preserve">prior </w:t>
      </w:r>
      <w:r w:rsidRPr="00E53977">
        <w:t xml:space="preserve">years. While </w:t>
      </w:r>
      <w:r w:rsidR="00C523ED" w:rsidRPr="00E53977">
        <w:t>these</w:t>
      </w:r>
      <w:r w:rsidRPr="00E53977">
        <w:t xml:space="preserve"> </w:t>
      </w:r>
      <w:r w:rsidR="00D4103B" w:rsidRPr="00E53977">
        <w:t>are recommended</w:t>
      </w:r>
      <w:r w:rsidRPr="00E53977">
        <w:t xml:space="preserve"> for certain acts that require additional time for FBOs to comply, these transition periods are often understood as delays of implementation and some stakeholders feel </w:t>
      </w:r>
      <w:r w:rsidR="00D4103B" w:rsidRPr="00E53977">
        <w:t xml:space="preserve">that </w:t>
      </w:r>
      <w:r w:rsidRPr="00E53977">
        <w:t>penalties should be applied immediately. Respondents also stated that these long transition periods cause the public to doubt the new legislation and put consumer safety at risk.</w:t>
      </w:r>
    </w:p>
    <w:p w14:paraId="50D7188E" w14:textId="4B6D60C3" w:rsidR="00B9071F" w:rsidRPr="00E53977" w:rsidRDefault="00B9071F" w:rsidP="002771FB">
      <w:pPr>
        <w:widowControl w:val="0"/>
        <w:spacing w:line="240" w:lineRule="auto"/>
      </w:pPr>
      <w:bookmarkStart w:id="6" w:name="_Hlk513993633"/>
      <w:r w:rsidRPr="00E53977">
        <w:t xml:space="preserve">In addition to a more robust awareness campaign about the new compliance requirements for FBOs, the NFA should increase </w:t>
      </w:r>
      <w:r w:rsidR="00D10785" w:rsidRPr="00E53977">
        <w:t xml:space="preserve">its </w:t>
      </w:r>
      <w:r w:rsidRPr="00E53977">
        <w:t>efforts to involve consumers in promoting food safety reforms and the responsibilities of FBOs to stimulate a market-driven demand for FBOs to comply with requirements during the transition period. This will introduce a “push-pull” approach for FBOs and will increase the efficiency of the NFA’s limited resources.</w:t>
      </w:r>
    </w:p>
    <w:p w14:paraId="66D5EC28" w14:textId="04C8C97B" w:rsidR="00B9071F" w:rsidRPr="00E53977" w:rsidRDefault="00B9071F" w:rsidP="002771FB">
      <w:pPr>
        <w:widowControl w:val="0"/>
        <w:spacing w:line="240" w:lineRule="auto"/>
      </w:pPr>
      <w:r w:rsidRPr="00E53977">
        <w:t xml:space="preserve">Additionally, MEPA should organize informational meetings to </w:t>
      </w:r>
      <w:r w:rsidR="00FA1474" w:rsidRPr="00E53977">
        <w:t xml:space="preserve">increase </w:t>
      </w:r>
      <w:r w:rsidRPr="00E53977">
        <w:t xml:space="preserve">stakeholder’s awareness of </w:t>
      </w:r>
      <w:r w:rsidR="000A195E" w:rsidRPr="00E53977">
        <w:t xml:space="preserve">the investment and upgrades required </w:t>
      </w:r>
      <w:r w:rsidRPr="00E53977">
        <w:t xml:space="preserve">to comply with </w:t>
      </w:r>
      <w:r w:rsidR="000A195E" w:rsidRPr="00E53977">
        <w:t xml:space="preserve">new regulatory </w:t>
      </w:r>
      <w:r w:rsidRPr="00E53977">
        <w:t>requirements. MEPA’s Information and Consultation Centers (ICCs) should be used to direct stakeholders to proper directions with dissemination of lists of respective consulting companies working in each particular field in case if information requested will exceed their capacity. Additionally, the NFA should expand on their broadcast public service messages to consumers and FBOs on the main television, radio, and social media channels.</w:t>
      </w:r>
    </w:p>
    <w:bookmarkEnd w:id="6"/>
    <w:p w14:paraId="37D19BF0" w14:textId="77777777" w:rsidR="00B9071F" w:rsidRPr="00E53977" w:rsidRDefault="00B9071F" w:rsidP="002771FB">
      <w:pPr>
        <w:pStyle w:val="ListParagraph"/>
        <w:widowControl w:val="0"/>
        <w:numPr>
          <w:ilvl w:val="0"/>
          <w:numId w:val="37"/>
        </w:numPr>
        <w:pBdr>
          <w:bottom w:val="single" w:sz="4" w:space="1" w:color="auto"/>
        </w:pBdr>
        <w:spacing w:line="240" w:lineRule="auto"/>
        <w:ind w:left="360"/>
        <w:rPr>
          <w:rFonts w:cs="Times New Roman"/>
          <w:b/>
          <w:szCs w:val="24"/>
        </w:rPr>
      </w:pPr>
      <w:r w:rsidRPr="00E53977">
        <w:rPr>
          <w:rFonts w:cs="Times New Roman"/>
          <w:b/>
          <w:szCs w:val="24"/>
        </w:rPr>
        <w:t>Ongoing Challenges to Staffing Public and Private Sector Organizations</w:t>
      </w:r>
    </w:p>
    <w:p w14:paraId="7F58251E" w14:textId="06FF6D2D" w:rsidR="00B9071F" w:rsidRPr="00E53977" w:rsidRDefault="00B9071F" w:rsidP="002771FB">
      <w:pPr>
        <w:widowControl w:val="0"/>
        <w:spacing w:line="240" w:lineRule="auto"/>
      </w:pPr>
      <w:r w:rsidRPr="00E53977">
        <w:t xml:space="preserve">In addition to the new staffing requirements for upcoming enforcement, there is a shortage of qualified personnel to support the GoG’s implementation of its food safety reforms and </w:t>
      </w:r>
      <w:r w:rsidR="00D10785" w:rsidRPr="00E53977">
        <w:t xml:space="preserve">its </w:t>
      </w:r>
      <w:r w:rsidRPr="00E53977">
        <w:t>ongoing monitoring and control plans</w:t>
      </w:r>
      <w:r w:rsidR="00582EF7" w:rsidRPr="00E53977">
        <w:t>, as well as for</w:t>
      </w:r>
      <w:r w:rsidRPr="00E53977">
        <w:t xml:space="preserve"> private sector Food Business Operators (FBOs), laboratories, food safety consulting firms, and suppliers. For example, the NFA employs or contracts about 650 veterinary specialists of varying qualification, whose average age is 65 years old. </w:t>
      </w:r>
      <w:r w:rsidR="00582EF7" w:rsidRPr="00E53977">
        <w:t>This</w:t>
      </w:r>
      <w:r w:rsidRPr="00E53977">
        <w:t xml:space="preserve"> potential lack of qualified workforce is a significant issue, especially when much of the current workforce will be retiring in the next few years.</w:t>
      </w:r>
    </w:p>
    <w:p w14:paraId="7394F56B" w14:textId="77777777" w:rsidR="00B9071F" w:rsidRPr="00E53977" w:rsidRDefault="00B9071F" w:rsidP="002771FB">
      <w:pPr>
        <w:widowControl w:val="0"/>
        <w:spacing w:line="240" w:lineRule="auto"/>
        <w:rPr>
          <w:rFonts w:eastAsia="Times New Roman" w:cs="Arial"/>
          <w:szCs w:val="20"/>
          <w:lang w:eastAsia="en-GB"/>
        </w:rPr>
      </w:pPr>
      <w:r w:rsidRPr="00E53977">
        <w:t>Although there was a significantly higher number of NFA staff trainings in 2017, these trainings did not include epidemiological sections that indicate how foodborne bacteria and infections occur and methods to avoid them. Similarly, the NFA trainings for water inspections and zoonotic disease outbreaks should also be reinstated.</w:t>
      </w:r>
    </w:p>
    <w:p w14:paraId="3497FE16" w14:textId="41AA8B51" w:rsidR="00B9071F" w:rsidRPr="00E53977" w:rsidRDefault="00B9071F" w:rsidP="002771FB">
      <w:pPr>
        <w:widowControl w:val="0"/>
        <w:spacing w:line="240" w:lineRule="auto"/>
        <w:rPr>
          <w:rFonts w:eastAsia="Times New Roman" w:cs="Arial"/>
          <w:szCs w:val="20"/>
          <w:lang w:eastAsia="en-GB"/>
        </w:rPr>
      </w:pPr>
      <w:r w:rsidRPr="00E53977">
        <w:rPr>
          <w:rFonts w:eastAsia="Times New Roman" w:cs="Times New Roman"/>
          <w:szCs w:val="24"/>
          <w:lang w:eastAsia="en-GB"/>
        </w:rPr>
        <w:t xml:space="preserve">As proposed in the 2016 assessment, MEPA and the NFA should begin a proactive campaign to recruit, train, and develop an expanded workforce both in the NFA’s Head Office and in the ROs. Leveraging the processor training centers in the former Ministry of Agriculture and Ministry of Environment and Protected Areas, MEPA should attempt to identify a sustainable way to combine these resources </w:t>
      </w:r>
      <w:r w:rsidR="00E44313" w:rsidRPr="00E53977">
        <w:rPr>
          <w:rFonts w:eastAsia="Times New Roman" w:cs="Times New Roman"/>
          <w:szCs w:val="24"/>
          <w:lang w:eastAsia="en-GB"/>
        </w:rPr>
        <w:t xml:space="preserve">to </w:t>
      </w:r>
      <w:r w:rsidRPr="00E53977">
        <w:rPr>
          <w:rFonts w:eastAsia="Times New Roman" w:cs="Times New Roman"/>
          <w:szCs w:val="24"/>
          <w:lang w:eastAsia="en-GB"/>
        </w:rPr>
        <w:t xml:space="preserve">expand food safety and SPS training programs. </w:t>
      </w:r>
      <w:r w:rsidR="00653684" w:rsidRPr="00E53977">
        <w:rPr>
          <w:rFonts w:eastAsia="Times New Roman" w:cs="Times New Roman"/>
          <w:szCs w:val="24"/>
          <w:lang w:eastAsia="en-GB"/>
        </w:rPr>
        <w:t>T</w:t>
      </w:r>
      <w:r w:rsidRPr="00E53977">
        <w:rPr>
          <w:rFonts w:eastAsia="Times New Roman" w:cs="Times New Roman"/>
          <w:szCs w:val="24"/>
          <w:lang w:eastAsia="en-GB"/>
        </w:rPr>
        <w:t xml:space="preserve">he NFA should </w:t>
      </w:r>
      <w:r w:rsidR="00653684" w:rsidRPr="00E53977">
        <w:rPr>
          <w:rFonts w:eastAsia="Times New Roman" w:cs="Times New Roman"/>
          <w:szCs w:val="24"/>
          <w:lang w:eastAsia="en-GB"/>
        </w:rPr>
        <w:t xml:space="preserve">also </w:t>
      </w:r>
      <w:r w:rsidRPr="00E53977">
        <w:rPr>
          <w:rFonts w:eastAsia="Times New Roman" w:cs="Times New Roman"/>
          <w:szCs w:val="24"/>
          <w:lang w:eastAsia="en-GB"/>
        </w:rPr>
        <w:t>encourage donors to coordinate with MEPA’s training center to provide capacity building exercises</w:t>
      </w:r>
      <w:r w:rsidR="00653684" w:rsidRPr="00E53977">
        <w:rPr>
          <w:rFonts w:eastAsia="Times New Roman" w:cs="Times New Roman"/>
          <w:szCs w:val="24"/>
          <w:lang w:eastAsia="en-GB"/>
        </w:rPr>
        <w:t xml:space="preserve"> instead of conducting independent trainings</w:t>
      </w:r>
      <w:r w:rsidRPr="00E53977">
        <w:rPr>
          <w:rFonts w:eastAsia="Times New Roman" w:cs="Times New Roman"/>
          <w:szCs w:val="24"/>
          <w:lang w:eastAsia="en-GB"/>
        </w:rPr>
        <w:t>. Furthermore, t</w:t>
      </w:r>
      <w:r w:rsidRPr="00E53977">
        <w:rPr>
          <w:rFonts w:eastAsia="Times New Roman" w:cs="Arial"/>
          <w:szCs w:val="20"/>
          <w:lang w:eastAsia="en-GB"/>
        </w:rPr>
        <w:t xml:space="preserve">he GoG should </w:t>
      </w:r>
      <w:r w:rsidR="00653684" w:rsidRPr="00E53977">
        <w:rPr>
          <w:rFonts w:eastAsia="Times New Roman" w:cs="Arial"/>
          <w:szCs w:val="20"/>
          <w:lang w:eastAsia="en-GB"/>
        </w:rPr>
        <w:t xml:space="preserve">coordinate donor activities related to </w:t>
      </w:r>
      <w:r w:rsidR="009F3A1B" w:rsidRPr="00E53977">
        <w:rPr>
          <w:rFonts w:eastAsia="Times New Roman" w:cs="Arial"/>
          <w:szCs w:val="20"/>
          <w:lang w:eastAsia="en-GB"/>
        </w:rPr>
        <w:t xml:space="preserve">promoting </w:t>
      </w:r>
      <w:r w:rsidRPr="00E53977">
        <w:rPr>
          <w:rFonts w:eastAsia="Times New Roman" w:cs="Arial"/>
          <w:szCs w:val="20"/>
          <w:lang w:eastAsia="en-GB"/>
        </w:rPr>
        <w:t xml:space="preserve">veterinary education, potentially through grants for students in the regions, to return </w:t>
      </w:r>
      <w:r w:rsidR="009F3A1B" w:rsidRPr="00E53977">
        <w:rPr>
          <w:rFonts w:eastAsia="Times New Roman" w:cs="Arial"/>
          <w:szCs w:val="20"/>
          <w:lang w:eastAsia="en-GB"/>
        </w:rPr>
        <w:t>to work in</w:t>
      </w:r>
      <w:r w:rsidRPr="00E53977">
        <w:rPr>
          <w:rFonts w:eastAsia="Times New Roman" w:cs="Arial"/>
          <w:szCs w:val="20"/>
          <w:lang w:eastAsia="en-GB"/>
        </w:rPr>
        <w:t xml:space="preserve"> the region</w:t>
      </w:r>
      <w:r w:rsidR="009F3A1B" w:rsidRPr="00E53977">
        <w:rPr>
          <w:rFonts w:eastAsia="Times New Roman" w:cs="Arial"/>
          <w:szCs w:val="20"/>
          <w:lang w:eastAsia="en-GB"/>
        </w:rPr>
        <w:t>s</w:t>
      </w:r>
      <w:r w:rsidRPr="00E53977">
        <w:rPr>
          <w:rFonts w:eastAsia="Times New Roman" w:cs="Arial"/>
          <w:szCs w:val="20"/>
          <w:lang w:eastAsia="en-GB"/>
        </w:rPr>
        <w:t xml:space="preserve"> after graduation.</w:t>
      </w:r>
    </w:p>
    <w:bookmarkEnd w:id="2"/>
    <w:p w14:paraId="45FB6157" w14:textId="77777777" w:rsidR="00B9071F" w:rsidRPr="00E53977" w:rsidRDefault="00B9071F" w:rsidP="002771FB">
      <w:pPr>
        <w:widowControl w:val="0"/>
        <w:spacing w:before="240" w:line="240" w:lineRule="auto"/>
        <w:rPr>
          <w:b/>
          <w:color w:val="0070C0"/>
        </w:rPr>
      </w:pPr>
      <w:r w:rsidRPr="00E53977">
        <w:rPr>
          <w:b/>
          <w:color w:val="0070C0"/>
        </w:rPr>
        <w:t>Other Key Findings, Observations and Conclusions</w:t>
      </w:r>
    </w:p>
    <w:p w14:paraId="31988B39" w14:textId="2C2EA964" w:rsidR="00BD50F5" w:rsidRPr="00E53977" w:rsidRDefault="00CE6C98" w:rsidP="002771FB">
      <w:pPr>
        <w:pStyle w:val="ListParagraph"/>
        <w:widowControl w:val="0"/>
        <w:numPr>
          <w:ilvl w:val="0"/>
          <w:numId w:val="30"/>
        </w:numPr>
        <w:spacing w:before="240" w:line="240" w:lineRule="auto"/>
        <w:ind w:left="450"/>
        <w:rPr>
          <w:rFonts w:eastAsia="Times New Roman" w:cs="Times New Roman"/>
          <w:szCs w:val="24"/>
          <w:lang w:eastAsia="en-GB"/>
        </w:rPr>
      </w:pPr>
      <w:bookmarkStart w:id="7" w:name="_Hlk518298045"/>
      <w:r w:rsidRPr="00E53977">
        <w:rPr>
          <w:rFonts w:cs="Times New Roman"/>
          <w:szCs w:val="24"/>
        </w:rPr>
        <w:t>T</w:t>
      </w:r>
      <w:r w:rsidR="00BD50F5" w:rsidRPr="00E53977">
        <w:rPr>
          <w:rFonts w:cs="Times New Roman"/>
          <w:szCs w:val="24"/>
        </w:rPr>
        <w:t xml:space="preserve">he legal approximation process appears to be technically transparent and participatory. However, as </w:t>
      </w:r>
      <w:r w:rsidRPr="00E53977">
        <w:rPr>
          <w:rFonts w:cs="Times New Roman"/>
          <w:szCs w:val="24"/>
        </w:rPr>
        <w:t xml:space="preserve">indicated </w:t>
      </w:r>
      <w:r w:rsidR="00BD50F5" w:rsidRPr="00E53977">
        <w:rPr>
          <w:rFonts w:cs="Times New Roman"/>
          <w:szCs w:val="24"/>
        </w:rPr>
        <w:t>in the 2016 assessment, the interview and focus group respondents</w:t>
      </w:r>
      <w:r w:rsidR="00F5600A" w:rsidRPr="00E53977">
        <w:rPr>
          <w:rFonts w:cs="Times New Roman"/>
          <w:szCs w:val="24"/>
        </w:rPr>
        <w:t>, including CSOs,</w:t>
      </w:r>
      <w:r w:rsidR="00BD50F5" w:rsidRPr="00E53977">
        <w:rPr>
          <w:rFonts w:cs="Times New Roman"/>
          <w:szCs w:val="24"/>
        </w:rPr>
        <w:t xml:space="preserve"> indicated they feel the GoG does not engage with them </w:t>
      </w:r>
      <w:r w:rsidR="0022077D" w:rsidRPr="00E53977">
        <w:rPr>
          <w:rFonts w:cs="Times New Roman"/>
          <w:szCs w:val="24"/>
        </w:rPr>
        <w:t xml:space="preserve">enough </w:t>
      </w:r>
      <w:r w:rsidR="00BD50F5" w:rsidRPr="00E53977">
        <w:rPr>
          <w:rFonts w:cs="Times New Roman"/>
          <w:szCs w:val="24"/>
        </w:rPr>
        <w:t xml:space="preserve">and </w:t>
      </w:r>
      <w:r w:rsidRPr="00E53977">
        <w:rPr>
          <w:rFonts w:cs="Times New Roman"/>
          <w:szCs w:val="24"/>
        </w:rPr>
        <w:t>want</w:t>
      </w:r>
      <w:r w:rsidR="00BD50F5" w:rsidRPr="00E53977">
        <w:rPr>
          <w:rFonts w:cs="Times New Roman"/>
          <w:szCs w:val="24"/>
        </w:rPr>
        <w:t xml:space="preserve"> to participate earlier in the drafting process, want more information, and want more </w:t>
      </w:r>
      <w:r w:rsidR="00BD50F5" w:rsidRPr="00E53977">
        <w:rPr>
          <w:rFonts w:cs="Times New Roman"/>
          <w:szCs w:val="24"/>
        </w:rPr>
        <w:lastRenderedPageBreak/>
        <w:t>communication channels besides MEPA’s website, which did not improve in 2017.</w:t>
      </w:r>
    </w:p>
    <w:p w14:paraId="12E0C6C2" w14:textId="627FE60B" w:rsidR="005D7666" w:rsidRPr="00E53977" w:rsidRDefault="00B9071F" w:rsidP="002771FB">
      <w:pPr>
        <w:pStyle w:val="ListParagraph"/>
        <w:widowControl w:val="0"/>
        <w:numPr>
          <w:ilvl w:val="0"/>
          <w:numId w:val="30"/>
        </w:numPr>
        <w:spacing w:before="240" w:line="240" w:lineRule="auto"/>
        <w:ind w:left="450"/>
      </w:pPr>
      <w:r w:rsidRPr="00E53977">
        <w:rPr>
          <w:rFonts w:eastAsia="Times New Roman" w:cs="Times New Roman"/>
          <w:szCs w:val="24"/>
          <w:lang w:eastAsia="en-GB"/>
        </w:rPr>
        <w:t xml:space="preserve">The GoG is advising and collecting input from all stakeholders directly through public-private dialogue via the NFA hosted “civic hall” public forums. </w:t>
      </w:r>
      <w:r w:rsidR="007F05D0" w:rsidRPr="00E53977">
        <w:rPr>
          <w:rFonts w:eastAsia="Times New Roman" w:cs="Times New Roman"/>
          <w:szCs w:val="24"/>
          <w:lang w:eastAsia="en-GB"/>
        </w:rPr>
        <w:t xml:space="preserve">The </w:t>
      </w:r>
      <w:r w:rsidR="00046F66" w:rsidRPr="00E53977">
        <w:rPr>
          <w:rFonts w:eastAsia="Times New Roman" w:cs="Times New Roman"/>
          <w:szCs w:val="24"/>
          <w:lang w:eastAsia="en-GB"/>
        </w:rPr>
        <w:t xml:space="preserve">three </w:t>
      </w:r>
      <w:r w:rsidR="007F05D0" w:rsidRPr="00E53977">
        <w:rPr>
          <w:rFonts w:eastAsia="Times New Roman" w:cs="Times New Roman"/>
          <w:szCs w:val="24"/>
          <w:lang w:eastAsia="en-GB"/>
        </w:rPr>
        <w:t>2017 events were better organized, increasing the necessary input and involvement from the private sector and CSO</w:t>
      </w:r>
      <w:r w:rsidR="00046F66" w:rsidRPr="00E53977">
        <w:rPr>
          <w:rFonts w:eastAsia="Times New Roman" w:cs="Times New Roman"/>
          <w:szCs w:val="24"/>
          <w:lang w:eastAsia="en-GB"/>
        </w:rPr>
        <w:t>; however</w:t>
      </w:r>
      <w:r w:rsidR="004D3D9F" w:rsidRPr="00E53977">
        <w:rPr>
          <w:rFonts w:eastAsia="Times New Roman" w:cs="Times New Roman"/>
          <w:szCs w:val="24"/>
          <w:lang w:eastAsia="en-GB"/>
        </w:rPr>
        <w:t>, hosting</w:t>
      </w:r>
      <w:r w:rsidRPr="00E53977">
        <w:rPr>
          <w:rFonts w:eastAsia="Times New Roman" w:cs="Times New Roman"/>
          <w:szCs w:val="24"/>
          <w:lang w:eastAsia="en-GB"/>
        </w:rPr>
        <w:t xml:space="preserve"> </w:t>
      </w:r>
      <w:r w:rsidR="004D3D9F" w:rsidRPr="00E53977">
        <w:rPr>
          <w:rFonts w:eastAsia="Times New Roman" w:cs="Times New Roman"/>
          <w:szCs w:val="24"/>
          <w:lang w:eastAsia="en-GB"/>
        </w:rPr>
        <w:t xml:space="preserve">only </w:t>
      </w:r>
      <w:r w:rsidR="005D7666" w:rsidRPr="00E53977">
        <w:t>3 civic halls</w:t>
      </w:r>
      <w:r w:rsidR="004D3D9F" w:rsidRPr="00E53977">
        <w:t xml:space="preserve"> in Tbilisi</w:t>
      </w:r>
      <w:r w:rsidR="005D7666" w:rsidRPr="00E53977">
        <w:t xml:space="preserve"> </w:t>
      </w:r>
      <w:r w:rsidR="004D3D9F" w:rsidRPr="00E53977">
        <w:t>is</w:t>
      </w:r>
      <w:r w:rsidR="005D7666" w:rsidRPr="00E53977">
        <w:t xml:space="preserve"> insufficient to provide stakeholders the information they need on upcoming legislative changes or to provide input on how the new legislation should be designed</w:t>
      </w:r>
      <w:r w:rsidR="004D3D9F" w:rsidRPr="00E53977">
        <w:t>, particularly for regional FBOs.</w:t>
      </w:r>
    </w:p>
    <w:p w14:paraId="35418F6C" w14:textId="3BB56B5F" w:rsidR="00B9071F" w:rsidRPr="00E53977" w:rsidRDefault="00B9071F" w:rsidP="002771FB">
      <w:pPr>
        <w:pStyle w:val="ListParagraph"/>
        <w:widowControl w:val="0"/>
        <w:numPr>
          <w:ilvl w:val="0"/>
          <w:numId w:val="30"/>
        </w:numPr>
        <w:spacing w:before="240" w:line="240" w:lineRule="auto"/>
        <w:ind w:left="450"/>
        <w:rPr>
          <w:rFonts w:eastAsia="Times New Roman" w:cs="Times New Roman"/>
          <w:szCs w:val="24"/>
          <w:lang w:eastAsia="en-GB"/>
        </w:rPr>
      </w:pPr>
      <w:r w:rsidRPr="00E53977">
        <w:rPr>
          <w:rFonts w:eastAsia="Times New Roman" w:cs="Times New Roman"/>
          <w:szCs w:val="24"/>
          <w:lang w:eastAsia="en-GB"/>
        </w:rPr>
        <w:t xml:space="preserve">Similar to the 2016 assessment, </w:t>
      </w:r>
      <w:r w:rsidR="003564EF" w:rsidRPr="00E53977">
        <w:rPr>
          <w:rFonts w:eastAsia="Times New Roman" w:cs="Times New Roman"/>
          <w:szCs w:val="24"/>
          <w:lang w:eastAsia="en-GB"/>
        </w:rPr>
        <w:t>public</w:t>
      </w:r>
      <w:r w:rsidRPr="00E53977">
        <w:rPr>
          <w:rFonts w:eastAsia="Times New Roman" w:cs="Times New Roman"/>
          <w:szCs w:val="24"/>
          <w:lang w:eastAsia="en-GB"/>
        </w:rPr>
        <w:t xml:space="preserve"> awareness of the NFA, </w:t>
      </w:r>
      <w:r w:rsidR="003564EF" w:rsidRPr="00E53977">
        <w:rPr>
          <w:rFonts w:eastAsia="Times New Roman" w:cs="Times New Roman"/>
          <w:szCs w:val="24"/>
          <w:lang w:eastAsia="en-GB"/>
        </w:rPr>
        <w:t xml:space="preserve">its </w:t>
      </w:r>
      <w:r w:rsidRPr="00E53977">
        <w:rPr>
          <w:rFonts w:eastAsia="Times New Roman" w:cs="Times New Roman"/>
          <w:szCs w:val="24"/>
          <w:lang w:eastAsia="en-GB"/>
        </w:rPr>
        <w:t>hotline</w:t>
      </w:r>
      <w:r w:rsidR="003564EF" w:rsidRPr="00E53977">
        <w:rPr>
          <w:rFonts w:eastAsia="Times New Roman" w:cs="Times New Roman"/>
          <w:szCs w:val="24"/>
          <w:lang w:eastAsia="en-GB"/>
        </w:rPr>
        <w:t>,</w:t>
      </w:r>
      <w:r w:rsidRPr="00E53977">
        <w:rPr>
          <w:rFonts w:eastAsia="Times New Roman" w:cs="Times New Roman"/>
          <w:szCs w:val="24"/>
          <w:lang w:eastAsia="en-GB"/>
        </w:rPr>
        <w:t xml:space="preserve"> and food safety issues was very low among </w:t>
      </w:r>
      <w:r w:rsidR="009A0CAB" w:rsidRPr="00E53977">
        <w:rPr>
          <w:rFonts w:eastAsia="Times New Roman" w:cs="Times New Roman"/>
          <w:szCs w:val="24"/>
          <w:lang w:eastAsia="en-GB"/>
        </w:rPr>
        <w:t>respondents</w:t>
      </w:r>
      <w:r w:rsidRPr="00E53977">
        <w:rPr>
          <w:rFonts w:eastAsia="Times New Roman" w:cs="Times New Roman"/>
          <w:szCs w:val="24"/>
          <w:lang w:eastAsia="en-GB"/>
        </w:rPr>
        <w:t>. Despite the NFA</w:t>
      </w:r>
      <w:r w:rsidR="009A0CAB" w:rsidRPr="00E53977">
        <w:rPr>
          <w:rFonts w:eastAsia="Times New Roman" w:cs="Times New Roman"/>
          <w:szCs w:val="24"/>
          <w:lang w:eastAsia="en-GB"/>
        </w:rPr>
        <w:t>’s</w:t>
      </w:r>
      <w:r w:rsidRPr="00E53977">
        <w:rPr>
          <w:rFonts w:eastAsia="Times New Roman" w:cs="Times New Roman"/>
          <w:szCs w:val="24"/>
          <w:lang w:eastAsia="en-GB"/>
        </w:rPr>
        <w:t xml:space="preserve"> website and </w:t>
      </w:r>
      <w:r w:rsidR="00C90A89" w:rsidRPr="00E53977">
        <w:rPr>
          <w:rFonts w:eastAsia="Times New Roman" w:cs="Times New Roman"/>
          <w:szCs w:val="24"/>
          <w:lang w:eastAsia="en-GB"/>
        </w:rPr>
        <w:t>social media</w:t>
      </w:r>
      <w:r w:rsidRPr="00E53977">
        <w:rPr>
          <w:rFonts w:eastAsia="Times New Roman" w:cs="Times New Roman"/>
          <w:szCs w:val="24"/>
          <w:lang w:eastAsia="en-GB"/>
        </w:rPr>
        <w:t xml:space="preserve">, younger </w:t>
      </w:r>
      <w:r w:rsidR="009A0CAB" w:rsidRPr="00E53977">
        <w:rPr>
          <w:rFonts w:eastAsia="Times New Roman" w:cs="Times New Roman"/>
          <w:szCs w:val="24"/>
          <w:lang w:eastAsia="en-GB"/>
        </w:rPr>
        <w:t xml:space="preserve">respondents </w:t>
      </w:r>
      <w:r w:rsidRPr="00E53977">
        <w:rPr>
          <w:rFonts w:eastAsia="Times New Roman" w:cs="Times New Roman"/>
          <w:szCs w:val="24"/>
          <w:lang w:eastAsia="en-GB"/>
        </w:rPr>
        <w:t xml:space="preserve">were </w:t>
      </w:r>
      <w:r w:rsidR="00C90A89" w:rsidRPr="00E53977">
        <w:rPr>
          <w:rFonts w:eastAsia="Times New Roman" w:cs="Times New Roman"/>
          <w:szCs w:val="24"/>
          <w:lang w:eastAsia="en-GB"/>
        </w:rPr>
        <w:t xml:space="preserve">not </w:t>
      </w:r>
      <w:r w:rsidRPr="00E53977">
        <w:rPr>
          <w:rFonts w:eastAsia="Times New Roman" w:cs="Times New Roman"/>
          <w:szCs w:val="24"/>
          <w:lang w:eastAsia="en-GB"/>
        </w:rPr>
        <w:t xml:space="preserve">aware of the NFA’s </w:t>
      </w:r>
      <w:r w:rsidR="00D21D55" w:rsidRPr="00E53977">
        <w:rPr>
          <w:rFonts w:eastAsia="Times New Roman" w:cs="Times New Roman"/>
          <w:szCs w:val="24"/>
          <w:lang w:eastAsia="en-GB"/>
        </w:rPr>
        <w:t xml:space="preserve">online </w:t>
      </w:r>
      <w:r w:rsidRPr="00E53977">
        <w:rPr>
          <w:rFonts w:eastAsia="Times New Roman" w:cs="Times New Roman"/>
          <w:szCs w:val="24"/>
          <w:lang w:eastAsia="en-GB"/>
        </w:rPr>
        <w:t>public outreach activities.</w:t>
      </w:r>
    </w:p>
    <w:p w14:paraId="2F27E260" w14:textId="3262587F" w:rsidR="00B9071F" w:rsidRPr="00E53977" w:rsidRDefault="00884698" w:rsidP="002771FB">
      <w:pPr>
        <w:pStyle w:val="ListParagraph"/>
        <w:widowControl w:val="0"/>
        <w:numPr>
          <w:ilvl w:val="0"/>
          <w:numId w:val="30"/>
        </w:numPr>
        <w:spacing w:before="240" w:line="240" w:lineRule="auto"/>
        <w:ind w:left="450"/>
        <w:rPr>
          <w:rFonts w:eastAsia="Times New Roman" w:cs="Times New Roman"/>
          <w:szCs w:val="24"/>
          <w:lang w:eastAsia="en-GB"/>
        </w:rPr>
      </w:pPr>
      <w:r w:rsidRPr="00E53977">
        <w:rPr>
          <w:rFonts w:eastAsia="Times New Roman" w:cs="Times New Roman"/>
          <w:szCs w:val="24"/>
          <w:lang w:eastAsia="en-GB"/>
        </w:rPr>
        <w:t>S</w:t>
      </w:r>
      <w:r w:rsidR="00B9071F" w:rsidRPr="00E53977">
        <w:rPr>
          <w:rFonts w:eastAsia="Times New Roman" w:cs="Times New Roman"/>
          <w:szCs w:val="24"/>
          <w:lang w:eastAsia="en-GB"/>
        </w:rPr>
        <w:t xml:space="preserve">urvey </w:t>
      </w:r>
      <w:r w:rsidRPr="00E53977">
        <w:rPr>
          <w:rFonts w:eastAsia="Times New Roman" w:cs="Times New Roman"/>
          <w:szCs w:val="24"/>
          <w:lang w:eastAsia="en-GB"/>
        </w:rPr>
        <w:t xml:space="preserve">results </w:t>
      </w:r>
      <w:r w:rsidR="00B9071F" w:rsidRPr="00E53977">
        <w:rPr>
          <w:rFonts w:eastAsia="Times New Roman" w:cs="Times New Roman"/>
          <w:szCs w:val="24"/>
          <w:lang w:eastAsia="en-GB"/>
        </w:rPr>
        <w:t xml:space="preserve">suggest there is a generally positive attitude among FBOs about the food safety system, their knowledge of regulations, and their ability to understand compliance regulations. However, </w:t>
      </w:r>
      <w:r w:rsidRPr="00E53977">
        <w:rPr>
          <w:rFonts w:eastAsia="Times New Roman" w:cs="Times New Roman"/>
          <w:szCs w:val="24"/>
          <w:lang w:eastAsia="en-GB"/>
        </w:rPr>
        <w:t xml:space="preserve">as </w:t>
      </w:r>
      <w:r w:rsidR="00B9071F" w:rsidRPr="00E53977">
        <w:rPr>
          <w:rFonts w:eastAsia="Times New Roman" w:cs="Times New Roman"/>
          <w:szCs w:val="24"/>
          <w:lang w:eastAsia="en-GB"/>
        </w:rPr>
        <w:t>only 2/3 of FBOs feel positive about their compliance efforts</w:t>
      </w:r>
      <w:r w:rsidRPr="00E53977">
        <w:rPr>
          <w:rFonts w:eastAsia="Times New Roman" w:cs="Times New Roman"/>
          <w:szCs w:val="24"/>
          <w:lang w:eastAsia="en-GB"/>
        </w:rPr>
        <w:t>,</w:t>
      </w:r>
      <w:r w:rsidR="00B9071F" w:rsidRPr="00E53977">
        <w:rPr>
          <w:rFonts w:eastAsia="Times New Roman" w:cs="Times New Roman"/>
          <w:szCs w:val="24"/>
          <w:lang w:eastAsia="en-GB"/>
        </w:rPr>
        <w:t xml:space="preserve"> </w:t>
      </w:r>
      <w:r w:rsidRPr="00E53977">
        <w:rPr>
          <w:rFonts w:eastAsia="Times New Roman" w:cs="Times New Roman"/>
          <w:szCs w:val="24"/>
          <w:lang w:eastAsia="en-GB"/>
        </w:rPr>
        <w:t xml:space="preserve">this </w:t>
      </w:r>
      <w:r w:rsidR="00B9071F" w:rsidRPr="00E53977">
        <w:rPr>
          <w:rFonts w:eastAsia="Times New Roman" w:cs="Times New Roman"/>
          <w:szCs w:val="24"/>
          <w:lang w:eastAsia="en-GB"/>
        </w:rPr>
        <w:t xml:space="preserve">suggests there is still a substantial gap in full compliance throughout the country. </w:t>
      </w:r>
    </w:p>
    <w:p w14:paraId="282442EF" w14:textId="504E253D" w:rsidR="00B9071F" w:rsidRPr="00E53977" w:rsidRDefault="00B9071F" w:rsidP="002771FB">
      <w:pPr>
        <w:pStyle w:val="ListParagraph"/>
        <w:widowControl w:val="0"/>
        <w:numPr>
          <w:ilvl w:val="0"/>
          <w:numId w:val="30"/>
        </w:numPr>
        <w:spacing w:before="240" w:line="240" w:lineRule="auto"/>
        <w:ind w:left="450"/>
        <w:rPr>
          <w:rFonts w:eastAsia="Times New Roman" w:cs="Times New Roman"/>
          <w:szCs w:val="24"/>
          <w:lang w:eastAsia="en-GB"/>
        </w:rPr>
      </w:pPr>
      <w:r w:rsidRPr="00E53977">
        <w:rPr>
          <w:rFonts w:eastAsia="Times New Roman" w:cs="Times New Roman"/>
          <w:szCs w:val="24"/>
          <w:lang w:eastAsia="en-GB"/>
        </w:rPr>
        <w:t xml:space="preserve">The NFA </w:t>
      </w:r>
      <w:r w:rsidR="00E26317" w:rsidRPr="00E53977">
        <w:rPr>
          <w:rFonts w:eastAsia="Times New Roman" w:cs="Times New Roman"/>
          <w:szCs w:val="24"/>
          <w:lang w:eastAsia="en-GB"/>
        </w:rPr>
        <w:t>developed</w:t>
      </w:r>
      <w:r w:rsidRPr="00E53977">
        <w:rPr>
          <w:rFonts w:eastAsia="Times New Roman" w:cs="Times New Roman"/>
          <w:szCs w:val="24"/>
          <w:lang w:eastAsia="en-GB"/>
        </w:rPr>
        <w:t xml:space="preserve"> its Foot and Mouth Disease (FMD) control plan</w:t>
      </w:r>
      <w:r w:rsidR="00FC29AC" w:rsidRPr="00E53977">
        <w:rPr>
          <w:rFonts w:eastAsia="Times New Roman" w:cs="Times New Roman"/>
          <w:szCs w:val="24"/>
          <w:lang w:eastAsia="en-GB"/>
        </w:rPr>
        <w:t xml:space="preserve">, with </w:t>
      </w:r>
      <w:r w:rsidRPr="00E53977">
        <w:rPr>
          <w:rFonts w:eastAsia="Times New Roman" w:cs="Times New Roman"/>
          <w:szCs w:val="24"/>
          <w:lang w:eastAsia="en-GB"/>
        </w:rPr>
        <w:t>the EU confirm</w:t>
      </w:r>
      <w:r w:rsidR="00FC29AC" w:rsidRPr="00E53977">
        <w:rPr>
          <w:rFonts w:eastAsia="Times New Roman" w:cs="Times New Roman"/>
          <w:szCs w:val="24"/>
          <w:lang w:eastAsia="en-GB"/>
        </w:rPr>
        <w:t>ing</w:t>
      </w:r>
      <w:r w:rsidRPr="00E53977">
        <w:rPr>
          <w:rFonts w:eastAsia="Times New Roman" w:cs="Times New Roman"/>
          <w:szCs w:val="24"/>
          <w:lang w:eastAsia="en-GB"/>
        </w:rPr>
        <w:t xml:space="preserve"> Georgia completed Stage 2 of the Progressive Control Pathway (PCP). The NFA expects to apply for PCP Stage 3 approval in 2018, the first step to apply for official OIE status as ‘FMD free WITH vaccination’. </w:t>
      </w:r>
    </w:p>
    <w:p w14:paraId="12289E4C" w14:textId="2646B75A" w:rsidR="00B9071F" w:rsidRPr="00E53977" w:rsidRDefault="00FC29AC" w:rsidP="002771FB">
      <w:pPr>
        <w:pStyle w:val="ListParagraph"/>
        <w:widowControl w:val="0"/>
        <w:numPr>
          <w:ilvl w:val="0"/>
          <w:numId w:val="30"/>
        </w:numPr>
        <w:spacing w:before="240" w:line="240" w:lineRule="auto"/>
        <w:ind w:left="450"/>
        <w:rPr>
          <w:rFonts w:eastAsia="Times New Roman" w:cs="Times New Roman"/>
          <w:szCs w:val="24"/>
          <w:lang w:eastAsia="en-GB"/>
        </w:rPr>
      </w:pPr>
      <w:r w:rsidRPr="00E53977">
        <w:rPr>
          <w:rFonts w:eastAsia="Times New Roman" w:cs="Times New Roman"/>
          <w:szCs w:val="24"/>
          <w:lang w:eastAsia="en-GB"/>
        </w:rPr>
        <w:t>T</w:t>
      </w:r>
      <w:r w:rsidR="00B9071F" w:rsidRPr="00E53977">
        <w:rPr>
          <w:rFonts w:eastAsia="Times New Roman" w:cs="Times New Roman"/>
          <w:szCs w:val="24"/>
          <w:lang w:eastAsia="en-GB"/>
        </w:rPr>
        <w:t xml:space="preserve">here are still challenges </w:t>
      </w:r>
      <w:r w:rsidR="002A527C" w:rsidRPr="00E53977">
        <w:rPr>
          <w:rFonts w:eastAsia="Times New Roman" w:cs="Times New Roman"/>
          <w:szCs w:val="24"/>
          <w:lang w:eastAsia="en-GB"/>
        </w:rPr>
        <w:t>with</w:t>
      </w:r>
      <w:r w:rsidR="00B9071F" w:rsidRPr="00E53977">
        <w:rPr>
          <w:rFonts w:eastAsia="Times New Roman" w:cs="Times New Roman"/>
          <w:szCs w:val="24"/>
          <w:lang w:eastAsia="en-GB"/>
        </w:rPr>
        <w:t xml:space="preserve"> the animal slaughtering process</w:t>
      </w:r>
      <w:r w:rsidRPr="00E53977">
        <w:rPr>
          <w:rFonts w:eastAsia="Times New Roman" w:cs="Times New Roman"/>
          <w:szCs w:val="24"/>
          <w:lang w:eastAsia="en-GB"/>
        </w:rPr>
        <w:t>, particularly</w:t>
      </w:r>
      <w:r w:rsidR="00B9071F" w:rsidRPr="00E53977">
        <w:rPr>
          <w:rFonts w:eastAsia="Times New Roman" w:cs="Times New Roman"/>
          <w:szCs w:val="24"/>
          <w:lang w:eastAsia="en-GB"/>
        </w:rPr>
        <w:t xml:space="preserve"> </w:t>
      </w:r>
      <w:r w:rsidR="00A21D17" w:rsidRPr="00E53977">
        <w:rPr>
          <w:rFonts w:eastAsia="Times New Roman" w:cs="Times New Roman"/>
          <w:szCs w:val="24"/>
          <w:lang w:eastAsia="en-GB"/>
        </w:rPr>
        <w:t>the</w:t>
      </w:r>
      <w:r w:rsidR="00B9071F" w:rsidRPr="00E53977">
        <w:rPr>
          <w:rFonts w:eastAsia="Times New Roman" w:cs="Times New Roman"/>
          <w:szCs w:val="24"/>
          <w:lang w:eastAsia="en-GB"/>
        </w:rPr>
        <w:t xml:space="preserve"> increased practice of </w:t>
      </w:r>
      <w:r w:rsidR="00A21D17" w:rsidRPr="00E53977">
        <w:rPr>
          <w:rFonts w:eastAsia="Times New Roman" w:cs="Times New Roman"/>
          <w:szCs w:val="24"/>
          <w:lang w:eastAsia="en-GB"/>
        </w:rPr>
        <w:t xml:space="preserve">beef </w:t>
      </w:r>
      <w:r w:rsidR="00B9071F" w:rsidRPr="00E53977">
        <w:rPr>
          <w:rFonts w:eastAsia="Times New Roman" w:cs="Times New Roman"/>
          <w:szCs w:val="24"/>
          <w:lang w:eastAsia="en-GB"/>
        </w:rPr>
        <w:t>sales without Form 2 (which shows the meat product coming from a</w:t>
      </w:r>
      <w:r w:rsidR="00A21D17" w:rsidRPr="00E53977">
        <w:rPr>
          <w:rFonts w:eastAsia="Times New Roman" w:cs="Times New Roman"/>
          <w:szCs w:val="24"/>
          <w:lang w:eastAsia="en-GB"/>
        </w:rPr>
        <w:t>n</w:t>
      </w:r>
      <w:r w:rsidR="00B9071F" w:rsidRPr="00E53977">
        <w:rPr>
          <w:rFonts w:eastAsia="Times New Roman" w:cs="Times New Roman"/>
          <w:szCs w:val="24"/>
          <w:lang w:eastAsia="en-GB"/>
        </w:rPr>
        <w:t xml:space="preserve"> NFA</w:t>
      </w:r>
      <w:r w:rsidR="00A21D17" w:rsidRPr="00E53977">
        <w:rPr>
          <w:rFonts w:eastAsia="Times New Roman" w:cs="Times New Roman"/>
          <w:szCs w:val="24"/>
          <w:lang w:eastAsia="en-GB"/>
        </w:rPr>
        <w:t>-</w:t>
      </w:r>
      <w:r w:rsidR="00B9071F" w:rsidRPr="00E53977">
        <w:rPr>
          <w:rFonts w:eastAsia="Times New Roman" w:cs="Times New Roman"/>
          <w:szCs w:val="24"/>
          <w:lang w:eastAsia="en-GB"/>
        </w:rPr>
        <w:t xml:space="preserve">controlled </w:t>
      </w:r>
      <w:r w:rsidR="00A21D17" w:rsidRPr="00E53977">
        <w:rPr>
          <w:rFonts w:eastAsia="Times New Roman" w:cs="Times New Roman"/>
          <w:szCs w:val="24"/>
          <w:lang w:eastAsia="en-GB"/>
        </w:rPr>
        <w:t>facility</w:t>
      </w:r>
      <w:r w:rsidR="00B9071F" w:rsidRPr="00E53977">
        <w:rPr>
          <w:rFonts w:eastAsia="Times New Roman" w:cs="Times New Roman"/>
          <w:szCs w:val="24"/>
          <w:lang w:eastAsia="en-GB"/>
        </w:rPr>
        <w:t>).</w:t>
      </w:r>
      <w:r w:rsidR="002A527C" w:rsidRPr="00E53977">
        <w:rPr>
          <w:rFonts w:eastAsia="Times New Roman" w:cs="Times New Roman"/>
          <w:szCs w:val="24"/>
          <w:lang w:eastAsia="en-GB"/>
        </w:rPr>
        <w:t xml:space="preserve"> T</w:t>
      </w:r>
      <w:r w:rsidR="00B9071F" w:rsidRPr="00E53977">
        <w:rPr>
          <w:rFonts w:eastAsia="Times New Roman" w:cs="Times New Roman"/>
          <w:szCs w:val="24"/>
          <w:lang w:eastAsia="en-GB"/>
        </w:rPr>
        <w:t xml:space="preserve">here </w:t>
      </w:r>
      <w:r w:rsidR="00A21D17" w:rsidRPr="00E53977">
        <w:rPr>
          <w:rFonts w:eastAsia="Times New Roman" w:cs="Times New Roman"/>
          <w:szCs w:val="24"/>
          <w:lang w:eastAsia="en-GB"/>
        </w:rPr>
        <w:t>are</w:t>
      </w:r>
      <w:r w:rsidR="00B9071F" w:rsidRPr="00E53977">
        <w:rPr>
          <w:rFonts w:eastAsia="Times New Roman" w:cs="Times New Roman"/>
          <w:szCs w:val="24"/>
          <w:lang w:eastAsia="en-GB"/>
        </w:rPr>
        <w:t xml:space="preserve"> </w:t>
      </w:r>
      <w:r w:rsidR="002A527C" w:rsidRPr="00E53977">
        <w:rPr>
          <w:rFonts w:eastAsia="Times New Roman" w:cs="Times New Roman"/>
          <w:szCs w:val="24"/>
          <w:lang w:eastAsia="en-GB"/>
        </w:rPr>
        <w:t xml:space="preserve">also </w:t>
      </w:r>
      <w:r w:rsidR="00B9071F" w:rsidRPr="00E53977">
        <w:rPr>
          <w:rFonts w:eastAsia="Times New Roman" w:cs="Times New Roman"/>
          <w:szCs w:val="24"/>
          <w:lang w:eastAsia="en-GB"/>
        </w:rPr>
        <w:t>high risk</w:t>
      </w:r>
      <w:r w:rsidR="00A21D17" w:rsidRPr="00E53977">
        <w:rPr>
          <w:rFonts w:eastAsia="Times New Roman" w:cs="Times New Roman"/>
          <w:szCs w:val="24"/>
          <w:lang w:eastAsia="en-GB"/>
        </w:rPr>
        <w:t>s</w:t>
      </w:r>
      <w:r w:rsidR="00B9071F" w:rsidRPr="00E53977">
        <w:rPr>
          <w:rFonts w:eastAsia="Times New Roman" w:cs="Times New Roman"/>
          <w:szCs w:val="24"/>
          <w:lang w:eastAsia="en-GB"/>
        </w:rPr>
        <w:t xml:space="preserve"> related to the practice of milk </w:t>
      </w:r>
      <w:r w:rsidR="002A527C" w:rsidRPr="00E53977">
        <w:rPr>
          <w:rFonts w:eastAsia="Times New Roman" w:cs="Times New Roman"/>
          <w:szCs w:val="24"/>
          <w:lang w:eastAsia="en-GB"/>
        </w:rPr>
        <w:t xml:space="preserve">rejected </w:t>
      </w:r>
      <w:r w:rsidR="00B9071F" w:rsidRPr="00E53977">
        <w:rPr>
          <w:rFonts w:eastAsia="Times New Roman" w:cs="Times New Roman"/>
          <w:szCs w:val="24"/>
          <w:lang w:eastAsia="en-GB"/>
        </w:rPr>
        <w:t xml:space="preserve">by dairies being sold to unregistered FBOs without any control of quality or safety. </w:t>
      </w:r>
    </w:p>
    <w:p w14:paraId="3B4D8A6C" w14:textId="4A5CACFC" w:rsidR="00B9071F" w:rsidRPr="00E53977" w:rsidRDefault="00B9071F" w:rsidP="002771FB">
      <w:pPr>
        <w:pStyle w:val="ListParagraph"/>
        <w:widowControl w:val="0"/>
        <w:numPr>
          <w:ilvl w:val="0"/>
          <w:numId w:val="30"/>
        </w:numPr>
        <w:spacing w:before="240" w:line="240" w:lineRule="auto"/>
        <w:ind w:left="450"/>
        <w:rPr>
          <w:rFonts w:eastAsia="Times New Roman" w:cs="Times New Roman"/>
          <w:szCs w:val="24"/>
          <w:lang w:eastAsia="en-GB"/>
        </w:rPr>
      </w:pPr>
      <w:r w:rsidRPr="00E53977">
        <w:rPr>
          <w:rFonts w:eastAsia="Times New Roman" w:cs="Times New Roman"/>
          <w:szCs w:val="24"/>
          <w:lang w:eastAsia="en-GB"/>
        </w:rPr>
        <w:t xml:space="preserve">The NFA drafted a </w:t>
      </w:r>
      <w:r w:rsidR="002A527C" w:rsidRPr="00E53977">
        <w:rPr>
          <w:rFonts w:eastAsia="Times New Roman" w:cs="Times New Roman"/>
          <w:szCs w:val="24"/>
          <w:lang w:eastAsia="en-GB"/>
        </w:rPr>
        <w:t>5</w:t>
      </w:r>
      <w:r w:rsidRPr="00E53977">
        <w:rPr>
          <w:rFonts w:eastAsia="Times New Roman" w:cs="Times New Roman"/>
          <w:szCs w:val="24"/>
          <w:lang w:eastAsia="en-GB"/>
        </w:rPr>
        <w:t xml:space="preserve">-year strategy (2018-2022) against the BMSB for the submission to the GoG. The main </w:t>
      </w:r>
      <w:r w:rsidR="00646C47" w:rsidRPr="00E53977">
        <w:rPr>
          <w:rFonts w:eastAsia="Times New Roman" w:cs="Times New Roman"/>
          <w:szCs w:val="24"/>
          <w:lang w:eastAsia="en-GB"/>
        </w:rPr>
        <w:t xml:space="preserve">strategic </w:t>
      </w:r>
      <w:r w:rsidRPr="00E53977">
        <w:rPr>
          <w:rFonts w:eastAsia="Times New Roman" w:cs="Times New Roman"/>
          <w:szCs w:val="24"/>
          <w:lang w:eastAsia="en-GB"/>
        </w:rPr>
        <w:t xml:space="preserve">directions </w:t>
      </w:r>
      <w:r w:rsidR="00646C47" w:rsidRPr="00E53977">
        <w:rPr>
          <w:rFonts w:eastAsia="Times New Roman" w:cs="Times New Roman"/>
          <w:szCs w:val="24"/>
          <w:lang w:eastAsia="en-GB"/>
        </w:rPr>
        <w:t>include</w:t>
      </w:r>
      <w:r w:rsidRPr="00E53977">
        <w:rPr>
          <w:rFonts w:eastAsia="Times New Roman" w:cs="Times New Roman"/>
          <w:szCs w:val="24"/>
          <w:lang w:eastAsia="en-GB"/>
        </w:rPr>
        <w:t xml:space="preserve"> </w:t>
      </w:r>
      <w:r w:rsidR="00646C47" w:rsidRPr="00E53977">
        <w:rPr>
          <w:rFonts w:eastAsia="Times New Roman" w:cs="Times New Roman"/>
          <w:szCs w:val="24"/>
          <w:lang w:eastAsia="en-GB"/>
        </w:rPr>
        <w:t xml:space="preserve">raising </w:t>
      </w:r>
      <w:r w:rsidRPr="00E53977">
        <w:rPr>
          <w:rFonts w:eastAsia="Times New Roman" w:cs="Times New Roman"/>
          <w:szCs w:val="24"/>
          <w:lang w:eastAsia="en-GB"/>
        </w:rPr>
        <w:t>farmer awareness, implement</w:t>
      </w:r>
      <w:r w:rsidR="00646C47" w:rsidRPr="00E53977">
        <w:rPr>
          <w:rFonts w:eastAsia="Times New Roman" w:cs="Times New Roman"/>
          <w:szCs w:val="24"/>
          <w:lang w:eastAsia="en-GB"/>
        </w:rPr>
        <w:t>ing a</w:t>
      </w:r>
      <w:r w:rsidRPr="00E53977">
        <w:rPr>
          <w:rFonts w:eastAsia="Times New Roman" w:cs="Times New Roman"/>
          <w:szCs w:val="24"/>
          <w:lang w:eastAsia="en-GB"/>
        </w:rPr>
        <w:t xml:space="preserve"> monitoring system, and chemical and mechanical management of </w:t>
      </w:r>
      <w:r w:rsidR="00646C47" w:rsidRPr="00E53977">
        <w:rPr>
          <w:rFonts w:eastAsia="Times New Roman" w:cs="Times New Roman"/>
          <w:szCs w:val="24"/>
          <w:lang w:eastAsia="en-GB"/>
        </w:rPr>
        <w:t xml:space="preserve">the </w:t>
      </w:r>
      <w:r w:rsidRPr="00E53977">
        <w:rPr>
          <w:rFonts w:eastAsia="Times New Roman" w:cs="Times New Roman"/>
          <w:szCs w:val="24"/>
          <w:lang w:eastAsia="en-GB"/>
        </w:rPr>
        <w:t>BMSB.</w:t>
      </w:r>
      <w:r w:rsidR="00646C47" w:rsidRPr="00E53977">
        <w:rPr>
          <w:rFonts w:eastAsia="Times New Roman" w:cs="Times New Roman"/>
          <w:szCs w:val="24"/>
          <w:lang w:eastAsia="en-GB"/>
        </w:rPr>
        <w:t xml:space="preserve"> </w:t>
      </w:r>
      <w:r w:rsidRPr="00E53977">
        <w:rPr>
          <w:rFonts w:eastAsia="Times New Roman" w:cs="Times New Roman"/>
          <w:szCs w:val="24"/>
          <w:lang w:eastAsia="en-GB"/>
        </w:rPr>
        <w:t xml:space="preserve"> </w:t>
      </w:r>
    </w:p>
    <w:p w14:paraId="28C42FA5" w14:textId="2D4111C4" w:rsidR="00B9071F" w:rsidRPr="00E53977" w:rsidRDefault="00B9071F" w:rsidP="002771FB">
      <w:pPr>
        <w:pStyle w:val="ListParagraph"/>
        <w:widowControl w:val="0"/>
        <w:numPr>
          <w:ilvl w:val="0"/>
          <w:numId w:val="30"/>
        </w:numPr>
        <w:spacing w:before="240" w:line="240" w:lineRule="auto"/>
        <w:ind w:left="450"/>
        <w:rPr>
          <w:rFonts w:eastAsia="Times New Roman" w:cs="Times New Roman"/>
          <w:szCs w:val="24"/>
          <w:lang w:eastAsia="en-GB"/>
        </w:rPr>
      </w:pPr>
      <w:r w:rsidRPr="00E53977">
        <w:rPr>
          <w:rFonts w:eastAsia="Times New Roman" w:cs="Times New Roman"/>
          <w:szCs w:val="24"/>
          <w:lang w:eastAsia="en-GB"/>
        </w:rPr>
        <w:t>In 2017, the NFA took 548 samples/probes of the drinking water. Non-compliance was detected in 42.3% of samples, which is only a slight improvement from 47% non-compliance in 2016. As in 20</w:t>
      </w:r>
      <w:r w:rsidR="00C337FA" w:rsidRPr="00E53977">
        <w:rPr>
          <w:rFonts w:eastAsia="Times New Roman" w:cs="Times New Roman"/>
          <w:szCs w:val="24"/>
          <w:lang w:eastAsia="en-GB"/>
        </w:rPr>
        <w:t>16,</w:t>
      </w:r>
      <w:r w:rsidRPr="00E53977">
        <w:rPr>
          <w:rFonts w:eastAsia="Times New Roman" w:cs="Times New Roman"/>
          <w:szCs w:val="24"/>
          <w:lang w:eastAsia="en-GB"/>
        </w:rPr>
        <w:t xml:space="preserve"> </w:t>
      </w:r>
      <w:r w:rsidR="00C337FA" w:rsidRPr="00E53977">
        <w:rPr>
          <w:rFonts w:eastAsia="Times New Roman" w:cs="Times New Roman"/>
          <w:szCs w:val="24"/>
          <w:lang w:eastAsia="en-GB"/>
        </w:rPr>
        <w:t>over 90</w:t>
      </w:r>
      <w:r w:rsidRPr="00E53977">
        <w:rPr>
          <w:rFonts w:eastAsia="Times New Roman" w:cs="Times New Roman"/>
          <w:szCs w:val="24"/>
          <w:lang w:eastAsia="en-GB"/>
        </w:rPr>
        <w:t xml:space="preserve">% of NFA’s non-compliant results </w:t>
      </w:r>
      <w:r w:rsidR="00C337FA" w:rsidRPr="00E53977">
        <w:rPr>
          <w:rFonts w:eastAsia="Times New Roman" w:cs="Times New Roman"/>
          <w:szCs w:val="24"/>
          <w:lang w:eastAsia="en-GB"/>
        </w:rPr>
        <w:t xml:space="preserve">(96.6% in 2017) </w:t>
      </w:r>
      <w:r w:rsidRPr="00E53977">
        <w:rPr>
          <w:rFonts w:eastAsia="Times New Roman" w:cs="Times New Roman"/>
          <w:szCs w:val="24"/>
          <w:lang w:eastAsia="en-GB"/>
        </w:rPr>
        <w:t xml:space="preserve">were from microbiological contamination in water samples from outside of </w:t>
      </w:r>
      <w:r w:rsidR="00C337FA" w:rsidRPr="00E53977">
        <w:rPr>
          <w:rFonts w:eastAsia="Times New Roman" w:cs="Times New Roman"/>
          <w:szCs w:val="24"/>
          <w:lang w:eastAsia="en-GB"/>
        </w:rPr>
        <w:t xml:space="preserve">the </w:t>
      </w:r>
      <w:r w:rsidRPr="00E53977">
        <w:rPr>
          <w:rFonts w:eastAsia="Times New Roman" w:cs="Times New Roman"/>
          <w:szCs w:val="24"/>
          <w:lang w:eastAsia="en-GB"/>
        </w:rPr>
        <w:t>bigger cities showing that rural water supplies are still in very poor condition and no significant improvement has taken place since 2016. At the same time, however, GWP analysis showed 50% improvement from 0.2% to 0.1% variance in 2017 as compared to 2016. Similar improvement was evident in UWSP water analysis, showing 0</w:t>
      </w:r>
      <w:r w:rsidR="0095250F" w:rsidRPr="00E53977">
        <w:rPr>
          <w:rFonts w:eastAsia="Times New Roman" w:cs="Times New Roman"/>
          <w:szCs w:val="24"/>
          <w:lang w:eastAsia="en-GB"/>
        </w:rPr>
        <w:t>.73</w:t>
      </w:r>
      <w:r w:rsidRPr="00E53977">
        <w:rPr>
          <w:rFonts w:eastAsia="Times New Roman" w:cs="Times New Roman"/>
          <w:szCs w:val="24"/>
          <w:lang w:eastAsia="en-GB"/>
        </w:rPr>
        <w:t>% non-compliance in 2017 compared to 1</w:t>
      </w:r>
      <w:r w:rsidR="0095250F" w:rsidRPr="00E53977">
        <w:rPr>
          <w:rFonts w:eastAsia="Times New Roman" w:cs="Times New Roman"/>
          <w:szCs w:val="24"/>
          <w:lang w:eastAsia="en-GB"/>
        </w:rPr>
        <w:t>.</w:t>
      </w:r>
      <w:r w:rsidRPr="00E53977">
        <w:rPr>
          <w:rFonts w:eastAsia="Times New Roman" w:cs="Times New Roman"/>
          <w:szCs w:val="24"/>
          <w:lang w:eastAsia="en-GB"/>
        </w:rPr>
        <w:t xml:space="preserve">56% in 2016. </w:t>
      </w:r>
    </w:p>
    <w:p w14:paraId="0964A1B0" w14:textId="42A4862C" w:rsidR="00B9071F" w:rsidRPr="00E53977" w:rsidRDefault="00860C17" w:rsidP="002771FB">
      <w:pPr>
        <w:pStyle w:val="ListParagraph"/>
        <w:widowControl w:val="0"/>
        <w:numPr>
          <w:ilvl w:val="0"/>
          <w:numId w:val="30"/>
        </w:numPr>
        <w:spacing w:before="240" w:line="240" w:lineRule="auto"/>
        <w:ind w:left="450"/>
        <w:rPr>
          <w:rFonts w:eastAsia="Times New Roman" w:cs="Times New Roman"/>
          <w:szCs w:val="24"/>
          <w:lang w:eastAsia="en-GB"/>
        </w:rPr>
      </w:pPr>
      <w:r w:rsidRPr="00E53977">
        <w:rPr>
          <w:rFonts w:eastAsia="Times New Roman" w:cs="Times New Roman"/>
          <w:szCs w:val="24"/>
          <w:lang w:eastAsia="en-GB"/>
        </w:rPr>
        <w:t xml:space="preserve">The RS Customs Department finalized the construction of the refrigerated storage rooms at the Adlia BIP, which was fully operational in 2017, increasing the RS’s capacity to handle livestock in 3 different BIPs: Sadakhlo, Kartsakhi, and Red Bridge. There were delays related to the construction of the Sadakhlo BIP and completion of the Kartsakhi BIP, which were expected to be fully upgraded by the end of 2017. </w:t>
      </w:r>
      <w:r w:rsidR="001747DA" w:rsidRPr="00E53977">
        <w:rPr>
          <w:rFonts w:eastAsia="Times New Roman" w:cs="Times New Roman"/>
          <w:szCs w:val="24"/>
          <w:lang w:eastAsia="en-GB"/>
        </w:rPr>
        <w:t>T</w:t>
      </w:r>
      <w:r w:rsidRPr="00E53977">
        <w:rPr>
          <w:rFonts w:eastAsia="Times New Roman" w:cs="Times New Roman"/>
          <w:szCs w:val="24"/>
          <w:lang w:eastAsia="en-GB"/>
        </w:rPr>
        <w:t>he tender for construction was announced in</w:t>
      </w:r>
      <w:r w:rsidR="001747DA" w:rsidRPr="00E53977">
        <w:rPr>
          <w:rFonts w:eastAsia="Times New Roman" w:cs="Times New Roman"/>
          <w:szCs w:val="24"/>
          <w:lang w:eastAsia="en-GB"/>
        </w:rPr>
        <w:t xml:space="preserve"> </w:t>
      </w:r>
      <w:r w:rsidRPr="00E53977">
        <w:rPr>
          <w:rFonts w:eastAsia="Times New Roman" w:cs="Times New Roman"/>
          <w:szCs w:val="24"/>
          <w:lang w:eastAsia="en-GB"/>
        </w:rPr>
        <w:t>2017. Still, despite the modernization of the Kartsakhi BIP, there will be limited animal crossing due to the missing capacity on the Turkish side.</w:t>
      </w:r>
    </w:p>
    <w:p w14:paraId="749BA11F" w14:textId="4DF1C3B1" w:rsidR="00B9071F" w:rsidRPr="00E53977" w:rsidRDefault="00EC47E3" w:rsidP="002771FB">
      <w:pPr>
        <w:pStyle w:val="ListParagraph"/>
        <w:widowControl w:val="0"/>
        <w:numPr>
          <w:ilvl w:val="0"/>
          <w:numId w:val="30"/>
        </w:numPr>
        <w:spacing w:before="240" w:line="240" w:lineRule="auto"/>
        <w:ind w:left="450"/>
        <w:rPr>
          <w:rFonts w:eastAsia="Times New Roman" w:cs="Times New Roman"/>
          <w:szCs w:val="24"/>
          <w:lang w:eastAsia="en-GB"/>
        </w:rPr>
      </w:pPr>
      <w:r w:rsidRPr="00E53977">
        <w:rPr>
          <w:rFonts w:eastAsia="Times New Roman" w:cs="Times New Roman"/>
          <w:szCs w:val="24"/>
          <w:lang w:eastAsia="en-GB"/>
        </w:rPr>
        <w:t>T</w:t>
      </w:r>
      <w:r w:rsidR="00B9071F" w:rsidRPr="00E53977">
        <w:rPr>
          <w:rFonts w:eastAsia="Times New Roman" w:cs="Times New Roman"/>
          <w:szCs w:val="24"/>
          <w:lang w:eastAsia="en-GB"/>
        </w:rPr>
        <w:t>he GAC became an associated member of European Accreditation (EA)</w:t>
      </w:r>
      <w:r w:rsidRPr="00E53977">
        <w:rPr>
          <w:rFonts w:eastAsia="Times New Roman" w:cs="Times New Roman"/>
          <w:szCs w:val="24"/>
          <w:lang w:eastAsia="en-GB"/>
        </w:rPr>
        <w:t>; h</w:t>
      </w:r>
      <w:r w:rsidR="00B9071F" w:rsidRPr="00E53977">
        <w:rPr>
          <w:rFonts w:eastAsia="Times New Roman" w:cs="Times New Roman"/>
          <w:szCs w:val="24"/>
          <w:lang w:eastAsia="en-GB"/>
        </w:rPr>
        <w:t xml:space="preserve">owever, </w:t>
      </w:r>
      <w:r w:rsidRPr="00E53977">
        <w:rPr>
          <w:rFonts w:eastAsia="Times New Roman" w:cs="Times New Roman"/>
          <w:szCs w:val="24"/>
          <w:lang w:eastAsia="en-GB"/>
        </w:rPr>
        <w:t>it</w:t>
      </w:r>
      <w:r w:rsidR="00B9071F" w:rsidRPr="00E53977">
        <w:rPr>
          <w:rFonts w:eastAsia="Times New Roman" w:cs="Times New Roman"/>
          <w:szCs w:val="24"/>
          <w:lang w:eastAsia="en-GB"/>
        </w:rPr>
        <w:t xml:space="preserve"> </w:t>
      </w:r>
      <w:r w:rsidRPr="00E53977">
        <w:rPr>
          <w:rFonts w:eastAsia="Times New Roman" w:cs="Times New Roman"/>
          <w:szCs w:val="24"/>
          <w:lang w:eastAsia="en-GB"/>
        </w:rPr>
        <w:t xml:space="preserve">was not granted </w:t>
      </w:r>
      <w:r w:rsidR="00B9071F" w:rsidRPr="00E53977">
        <w:rPr>
          <w:rFonts w:eastAsia="Times New Roman" w:cs="Times New Roman"/>
          <w:szCs w:val="24"/>
          <w:lang w:eastAsia="en-GB"/>
        </w:rPr>
        <w:t xml:space="preserve">mutual recognition of accreditation of laboratories and other certifying bodies. </w:t>
      </w:r>
    </w:p>
    <w:p w14:paraId="11810758" w14:textId="0ECAFECB" w:rsidR="00B9071F" w:rsidRPr="00E53977" w:rsidRDefault="00B9071F" w:rsidP="002771FB">
      <w:pPr>
        <w:pStyle w:val="ListParagraph"/>
        <w:widowControl w:val="0"/>
        <w:numPr>
          <w:ilvl w:val="0"/>
          <w:numId w:val="30"/>
        </w:numPr>
        <w:spacing w:before="240" w:line="240" w:lineRule="auto"/>
        <w:ind w:left="450"/>
        <w:rPr>
          <w:rFonts w:eastAsia="Times New Roman" w:cs="Times New Roman"/>
          <w:szCs w:val="24"/>
          <w:lang w:eastAsia="en-GB"/>
        </w:rPr>
      </w:pPr>
      <w:r w:rsidRPr="00E53977">
        <w:rPr>
          <w:rFonts w:eastAsia="Times New Roman" w:cs="Times New Roman"/>
          <w:szCs w:val="24"/>
          <w:lang w:eastAsia="en-GB"/>
        </w:rPr>
        <w:t xml:space="preserve">The NFA and the NCDC enhanced their communication and cooperation by establishing a joint committee to develop an epidemiological enteric (i.e., diarrhea) control program, complete with improved laboratory testing requirements and processes. </w:t>
      </w:r>
    </w:p>
    <w:bookmarkEnd w:id="7"/>
    <w:p w14:paraId="1E036FCC" w14:textId="77777777" w:rsidR="00B9071F" w:rsidRPr="00E53977" w:rsidRDefault="00B9071F" w:rsidP="002771FB">
      <w:pPr>
        <w:widowControl w:val="0"/>
        <w:spacing w:before="240" w:line="240" w:lineRule="auto"/>
        <w:rPr>
          <w:b/>
          <w:color w:val="0070C0"/>
        </w:rPr>
      </w:pPr>
      <w:r w:rsidRPr="00E53977">
        <w:rPr>
          <w:b/>
          <w:color w:val="0070C0"/>
        </w:rPr>
        <w:t>Other Key Recommendations</w:t>
      </w:r>
    </w:p>
    <w:p w14:paraId="1778C983" w14:textId="77777777" w:rsidR="001747DA" w:rsidRPr="00E53977" w:rsidRDefault="001747DA" w:rsidP="001747DA">
      <w:pPr>
        <w:pStyle w:val="ListParagraph"/>
        <w:widowControl w:val="0"/>
        <w:numPr>
          <w:ilvl w:val="0"/>
          <w:numId w:val="30"/>
        </w:numPr>
        <w:spacing w:line="240" w:lineRule="auto"/>
        <w:ind w:left="450"/>
        <w:rPr>
          <w:rFonts w:cs="Times New Roman"/>
        </w:rPr>
      </w:pPr>
      <w:r w:rsidRPr="00E53977">
        <w:rPr>
          <w:rFonts w:cs="Times New Roman"/>
        </w:rPr>
        <w:t xml:space="preserve">MEPA should work closer with the MoF to coordinate relations with the RS for the NFA </w:t>
      </w:r>
      <w:r w:rsidRPr="00E53977">
        <w:rPr>
          <w:rFonts w:cs="Times New Roman"/>
        </w:rPr>
        <w:lastRenderedPageBreak/>
        <w:t>to have updated information on all FBOs exceeding GEL 200,000 in turnover, about start-end locations, transportation times, etc.</w:t>
      </w:r>
    </w:p>
    <w:p w14:paraId="228B13EB" w14:textId="77777777" w:rsidR="001747DA" w:rsidRPr="00E53977" w:rsidRDefault="001747DA" w:rsidP="001747DA">
      <w:pPr>
        <w:pStyle w:val="ListParagraph"/>
        <w:widowControl w:val="0"/>
        <w:numPr>
          <w:ilvl w:val="0"/>
          <w:numId w:val="8"/>
        </w:numPr>
        <w:spacing w:line="240" w:lineRule="auto"/>
        <w:ind w:left="450"/>
        <w:rPr>
          <w:rFonts w:cs="Times New Roman"/>
        </w:rPr>
      </w:pPr>
      <w:r w:rsidRPr="00E53977">
        <w:t>MEPA/NFA should increase their efforts to regulate antibiotics and raise awareness among beekeepers and other livestock growers about acceptable veterinary medicines practices. For example, compared to the EU’s list of approved veterinary medicines, metronidazole is still in the Georgian list of registered medicines for animals but not allowed by other legislation to be used in beekeeping or other food chain animals.</w:t>
      </w:r>
    </w:p>
    <w:p w14:paraId="77A9E677" w14:textId="5838E93A" w:rsidR="00FC1EEF" w:rsidRPr="00E53977" w:rsidRDefault="00321D5E" w:rsidP="002771FB">
      <w:pPr>
        <w:pStyle w:val="ListParagraph"/>
        <w:widowControl w:val="0"/>
        <w:numPr>
          <w:ilvl w:val="0"/>
          <w:numId w:val="8"/>
        </w:numPr>
        <w:spacing w:line="240" w:lineRule="auto"/>
        <w:ind w:left="450"/>
      </w:pPr>
      <w:r w:rsidRPr="00E53977">
        <w:t>T</w:t>
      </w:r>
      <w:r w:rsidR="00FC1EEF" w:rsidRPr="00E53977">
        <w:t>he NFA should increase the number of civic halls to engage CSOs, business associations, FBOs, consumers, and other stakeholders on all approximated acts, particularly for those that will have major impacts and implications for compliance and enforcement.</w:t>
      </w:r>
      <w:r w:rsidR="00D11A45" w:rsidRPr="00E53977">
        <w:t xml:space="preserve"> </w:t>
      </w:r>
      <w:r w:rsidR="00FC1EEF" w:rsidRPr="00E53977">
        <w:t xml:space="preserve">As the civic halls are only hosted in Tbilisi, the NFA should also host them in the regions where high concentrations of FBOs will be affected by new regulations. The NFA should </w:t>
      </w:r>
      <w:r w:rsidR="00207054" w:rsidRPr="00E53977">
        <w:t>give sufficient advance notice to</w:t>
      </w:r>
      <w:r w:rsidR="00FC1EEF" w:rsidRPr="00E53977">
        <w:t xml:space="preserve"> CSOs, FBOs, and other stakeholders to schedule accordingly, conduct their initial analysis, and develop their comments and inputs prior to the civic halls.</w:t>
      </w:r>
    </w:p>
    <w:p w14:paraId="31207C69" w14:textId="0B92CC17" w:rsidR="00B9071F" w:rsidRPr="00E53977" w:rsidRDefault="00B9071F" w:rsidP="002771FB">
      <w:pPr>
        <w:pStyle w:val="ListParagraph"/>
        <w:widowControl w:val="0"/>
        <w:numPr>
          <w:ilvl w:val="0"/>
          <w:numId w:val="30"/>
        </w:numPr>
        <w:spacing w:line="240" w:lineRule="auto"/>
        <w:ind w:left="450"/>
        <w:rPr>
          <w:rFonts w:cs="Times New Roman"/>
        </w:rPr>
      </w:pPr>
      <w:r w:rsidRPr="00E53977">
        <w:t xml:space="preserve">NFA should be more active in </w:t>
      </w:r>
      <w:r w:rsidR="00D1538A" w:rsidRPr="00E53977">
        <w:t>identifying and applying</w:t>
      </w:r>
      <w:r w:rsidRPr="00E53977">
        <w:t xml:space="preserve"> penalties to sales </w:t>
      </w:r>
      <w:r w:rsidR="00D1538A" w:rsidRPr="00E53977">
        <w:t xml:space="preserve">locations that </w:t>
      </w:r>
      <w:r w:rsidRPr="00E53977">
        <w:t xml:space="preserve">selling food products </w:t>
      </w:r>
      <w:r w:rsidR="00EA7834" w:rsidRPr="00E53977">
        <w:t xml:space="preserve">that </w:t>
      </w:r>
      <w:r w:rsidRPr="00E53977">
        <w:t xml:space="preserve">are </w:t>
      </w:r>
      <w:r w:rsidR="00EA7834" w:rsidRPr="00E53977">
        <w:t xml:space="preserve">not </w:t>
      </w:r>
      <w:r w:rsidRPr="00E53977">
        <w:t xml:space="preserve">traceable or </w:t>
      </w:r>
      <w:r w:rsidR="00EA7834" w:rsidRPr="00E53977">
        <w:t>are sourced</w:t>
      </w:r>
      <w:r w:rsidRPr="00E53977">
        <w:t xml:space="preserve"> from unregistered FBOs.</w:t>
      </w:r>
      <w:r w:rsidR="000244C4" w:rsidRPr="00E53977">
        <w:t xml:space="preserve"> Similarly, </w:t>
      </w:r>
      <w:r w:rsidR="000244C4" w:rsidRPr="00E53977">
        <w:rPr>
          <w:rFonts w:cs="Times New Roman"/>
        </w:rPr>
        <w:t>t</w:t>
      </w:r>
      <w:r w:rsidRPr="00E53977">
        <w:rPr>
          <w:rFonts w:cs="Times New Roman"/>
        </w:rPr>
        <w:t>he NFA should apply stricter control over milk, meat, and dairy sales locations, particularly over open markets.</w:t>
      </w:r>
    </w:p>
    <w:p w14:paraId="4651A0DC" w14:textId="1C4ABA0C" w:rsidR="00B9071F" w:rsidRPr="00E53977" w:rsidRDefault="005C0E83" w:rsidP="002771FB">
      <w:pPr>
        <w:pStyle w:val="ListParagraph"/>
        <w:widowControl w:val="0"/>
        <w:numPr>
          <w:ilvl w:val="0"/>
          <w:numId w:val="30"/>
        </w:numPr>
        <w:spacing w:line="240" w:lineRule="auto"/>
        <w:ind w:left="450"/>
        <w:rPr>
          <w:rFonts w:cs="Times New Roman"/>
        </w:rPr>
      </w:pPr>
      <w:r w:rsidRPr="00E53977">
        <w:rPr>
          <w:rFonts w:cs="Times New Roman"/>
        </w:rPr>
        <w:t>S</w:t>
      </w:r>
      <w:r w:rsidR="00B9071F" w:rsidRPr="00E53977">
        <w:rPr>
          <w:rFonts w:cs="Times New Roman"/>
        </w:rPr>
        <w:t xml:space="preserve">ome </w:t>
      </w:r>
      <w:r w:rsidR="005A4C7E" w:rsidRPr="00E53977">
        <w:rPr>
          <w:rFonts w:cs="Times New Roman"/>
        </w:rPr>
        <w:t xml:space="preserve">of the </w:t>
      </w:r>
      <w:r w:rsidR="00B9071F" w:rsidRPr="00E53977">
        <w:rPr>
          <w:rFonts w:cs="Times New Roman"/>
        </w:rPr>
        <w:t xml:space="preserve">results of NFA monitoring and surveillance </w:t>
      </w:r>
      <w:r w:rsidR="005A4C7E" w:rsidRPr="00E53977">
        <w:rPr>
          <w:rFonts w:cs="Times New Roman"/>
        </w:rPr>
        <w:t>(</w:t>
      </w:r>
      <w:r w:rsidR="00B9071F" w:rsidRPr="00E53977">
        <w:rPr>
          <w:rFonts w:cs="Times New Roman"/>
        </w:rPr>
        <w:t xml:space="preserve">including the </w:t>
      </w:r>
      <w:r w:rsidR="005D7637" w:rsidRPr="00E53977">
        <w:rPr>
          <w:rFonts w:cs="Times New Roman"/>
        </w:rPr>
        <w:t xml:space="preserve">FBO </w:t>
      </w:r>
      <w:r w:rsidR="00B9071F" w:rsidRPr="00E53977">
        <w:rPr>
          <w:rFonts w:cs="Times New Roman"/>
        </w:rPr>
        <w:t>names</w:t>
      </w:r>
      <w:r w:rsidR="005D7637" w:rsidRPr="00E53977">
        <w:rPr>
          <w:rFonts w:cs="Times New Roman"/>
        </w:rPr>
        <w:t>)</w:t>
      </w:r>
      <w:r w:rsidR="00B9071F" w:rsidRPr="00E53977">
        <w:rPr>
          <w:rFonts w:cs="Times New Roman"/>
        </w:rPr>
        <w:t xml:space="preserve"> are published </w:t>
      </w:r>
      <w:r w:rsidR="005A4C7E" w:rsidRPr="00E53977">
        <w:rPr>
          <w:rFonts w:cs="Times New Roman"/>
        </w:rPr>
        <w:t xml:space="preserve">on </w:t>
      </w:r>
      <w:r w:rsidR="00B9071F" w:rsidRPr="00E53977">
        <w:rPr>
          <w:rFonts w:cs="Times New Roman"/>
        </w:rPr>
        <w:t>the NFA website</w:t>
      </w:r>
      <w:r w:rsidRPr="00E53977">
        <w:rPr>
          <w:rFonts w:cs="Times New Roman"/>
        </w:rPr>
        <w:t>; however</w:t>
      </w:r>
      <w:r w:rsidR="00B9071F" w:rsidRPr="00E53977">
        <w:rPr>
          <w:rFonts w:cs="Times New Roman"/>
        </w:rPr>
        <w:t xml:space="preserve">, </w:t>
      </w:r>
      <w:r w:rsidRPr="00E53977">
        <w:rPr>
          <w:rFonts w:cs="Times New Roman"/>
        </w:rPr>
        <w:t xml:space="preserve">respondents stated </w:t>
      </w:r>
      <w:r w:rsidR="00B9071F" w:rsidRPr="00E53977">
        <w:rPr>
          <w:rFonts w:cs="Times New Roman"/>
        </w:rPr>
        <w:t xml:space="preserve">this is not </w:t>
      </w:r>
      <w:r w:rsidR="005A4C7E" w:rsidRPr="00E53977">
        <w:rPr>
          <w:rFonts w:cs="Times New Roman"/>
        </w:rPr>
        <w:t>sufficient</w:t>
      </w:r>
      <w:r w:rsidR="00B9071F" w:rsidRPr="00E53977">
        <w:rPr>
          <w:rFonts w:cs="Times New Roman"/>
        </w:rPr>
        <w:t xml:space="preserve">. </w:t>
      </w:r>
      <w:r w:rsidRPr="00E53977">
        <w:rPr>
          <w:rFonts w:cs="Times New Roman"/>
        </w:rPr>
        <w:t xml:space="preserve">The </w:t>
      </w:r>
      <w:r w:rsidR="00B9071F" w:rsidRPr="00E53977">
        <w:rPr>
          <w:rFonts w:cs="Times New Roman"/>
        </w:rPr>
        <w:t>NFA should consider publishing details of individual critical non-compliances and summaries of research. The</w:t>
      </w:r>
      <w:r w:rsidR="005D7637" w:rsidRPr="00E53977">
        <w:rPr>
          <w:rFonts w:cs="Times New Roman"/>
        </w:rPr>
        <w:t>se</w:t>
      </w:r>
      <w:r w:rsidR="00B9071F" w:rsidRPr="00E53977">
        <w:rPr>
          <w:rFonts w:cs="Times New Roman"/>
        </w:rPr>
        <w:t xml:space="preserve"> details would also </w:t>
      </w:r>
      <w:r w:rsidR="005D7637" w:rsidRPr="00E53977">
        <w:rPr>
          <w:rFonts w:cs="Times New Roman"/>
        </w:rPr>
        <w:t xml:space="preserve">motivate </w:t>
      </w:r>
      <w:r w:rsidR="00B9071F" w:rsidRPr="00E53977">
        <w:rPr>
          <w:rFonts w:cs="Times New Roman"/>
        </w:rPr>
        <w:t>other FBOs to improve operations.</w:t>
      </w:r>
    </w:p>
    <w:p w14:paraId="4494F429" w14:textId="31538DA3" w:rsidR="00B9071F" w:rsidRPr="00E53977" w:rsidRDefault="00B9071F" w:rsidP="002771FB">
      <w:pPr>
        <w:pStyle w:val="ListParagraph"/>
        <w:widowControl w:val="0"/>
        <w:numPr>
          <w:ilvl w:val="0"/>
          <w:numId w:val="30"/>
        </w:numPr>
        <w:spacing w:line="240" w:lineRule="auto"/>
        <w:ind w:left="450"/>
        <w:rPr>
          <w:rFonts w:cs="Times New Roman"/>
        </w:rPr>
      </w:pPr>
      <w:r w:rsidRPr="00E53977">
        <w:rPr>
          <w:rFonts w:cs="Times New Roman"/>
        </w:rPr>
        <w:t xml:space="preserve">The NFA and NCDC should conduct zoonotic disease outbreak simulations more often, similar to the theoretical and practical trainings conducted </w:t>
      </w:r>
      <w:r w:rsidR="00C268DE" w:rsidRPr="00E53977">
        <w:rPr>
          <w:rFonts w:cs="Times New Roman"/>
        </w:rPr>
        <w:t xml:space="preserve">in 2015 </w:t>
      </w:r>
      <w:r w:rsidRPr="00E53977">
        <w:rPr>
          <w:rFonts w:cs="Times New Roman"/>
        </w:rPr>
        <w:t xml:space="preserve">by US Defense Threat Reduction Agency </w:t>
      </w:r>
      <w:r w:rsidR="00F64E60" w:rsidRPr="00E53977">
        <w:rPr>
          <w:rFonts w:cs="Times New Roman"/>
        </w:rPr>
        <w:t>(</w:t>
      </w:r>
      <w:r w:rsidRPr="00E53977">
        <w:rPr>
          <w:rFonts w:cs="Times New Roman"/>
        </w:rPr>
        <w:t>DTRA</w:t>
      </w:r>
      <w:r w:rsidR="00F64E60" w:rsidRPr="00E53977">
        <w:rPr>
          <w:rFonts w:cs="Times New Roman"/>
        </w:rPr>
        <w:t>)</w:t>
      </w:r>
      <w:r w:rsidRPr="00E53977">
        <w:rPr>
          <w:rFonts w:cs="Times New Roman"/>
        </w:rPr>
        <w:t>.</w:t>
      </w:r>
      <w:r w:rsidR="00AB6B2F" w:rsidRPr="00E53977">
        <w:rPr>
          <w:rFonts w:cs="Times New Roman"/>
        </w:rPr>
        <w:t xml:space="preserve"> </w:t>
      </w:r>
      <w:r w:rsidRPr="00E53977">
        <w:rPr>
          <w:rFonts w:cs="Times New Roman"/>
        </w:rPr>
        <w:t>The NFA</w:t>
      </w:r>
      <w:r w:rsidR="00DF0AC8" w:rsidRPr="00E53977">
        <w:rPr>
          <w:rFonts w:cs="Times New Roman"/>
        </w:rPr>
        <w:t>’s</w:t>
      </w:r>
      <w:r w:rsidRPr="00E53977">
        <w:rPr>
          <w:rFonts w:cs="Times New Roman"/>
        </w:rPr>
        <w:t xml:space="preserve"> simulations of animal diseases should </w:t>
      </w:r>
      <w:r w:rsidR="00DF0AC8" w:rsidRPr="00E53977">
        <w:rPr>
          <w:rFonts w:cs="Times New Roman"/>
        </w:rPr>
        <w:t xml:space="preserve">also </w:t>
      </w:r>
      <w:r w:rsidRPr="00E53977">
        <w:rPr>
          <w:rFonts w:cs="Times New Roman"/>
        </w:rPr>
        <w:t xml:space="preserve">involve staff from </w:t>
      </w:r>
      <w:r w:rsidR="00DF0AC8" w:rsidRPr="00E53977">
        <w:rPr>
          <w:rFonts w:cs="Times New Roman"/>
        </w:rPr>
        <w:t xml:space="preserve">the </w:t>
      </w:r>
      <w:r w:rsidRPr="00E53977">
        <w:rPr>
          <w:rFonts w:cs="Times New Roman"/>
        </w:rPr>
        <w:t xml:space="preserve">NCDC and the relevant environmental department(s) of the MEPA. </w:t>
      </w:r>
    </w:p>
    <w:p w14:paraId="21679360" w14:textId="53DEA150" w:rsidR="00B9071F" w:rsidRPr="00E53977" w:rsidRDefault="00B9071F" w:rsidP="002771FB">
      <w:pPr>
        <w:pStyle w:val="ListParagraph"/>
        <w:widowControl w:val="0"/>
        <w:numPr>
          <w:ilvl w:val="0"/>
          <w:numId w:val="30"/>
        </w:numPr>
        <w:spacing w:line="240" w:lineRule="auto"/>
        <w:ind w:left="450"/>
        <w:rPr>
          <w:rFonts w:cs="Times New Roman"/>
        </w:rPr>
      </w:pPr>
      <w:r w:rsidRPr="00E53977">
        <w:rPr>
          <w:rFonts w:cs="Times New Roman"/>
        </w:rPr>
        <w:t xml:space="preserve">The SRCA needs greater access to better data from the NFA, MLHSA, RS, GeoStat and other GoG entities </w:t>
      </w:r>
      <w:r w:rsidR="00C268DE" w:rsidRPr="00E53977">
        <w:rPr>
          <w:rFonts w:cs="Times New Roman"/>
        </w:rPr>
        <w:t xml:space="preserve">on </w:t>
      </w:r>
      <w:r w:rsidRPr="00E53977">
        <w:rPr>
          <w:rFonts w:cs="Times New Roman"/>
        </w:rPr>
        <w:t xml:space="preserve">animal health </w:t>
      </w:r>
      <w:r w:rsidR="0077474D" w:rsidRPr="00E53977">
        <w:rPr>
          <w:rFonts w:cs="Times New Roman"/>
        </w:rPr>
        <w:t>issues</w:t>
      </w:r>
      <w:r w:rsidRPr="00E53977">
        <w:rPr>
          <w:rFonts w:cs="Times New Roman"/>
        </w:rPr>
        <w:t>, food non-compliance incidences, human food poisonings, and food consumption data to estimate exposures to food safety risks.</w:t>
      </w:r>
    </w:p>
    <w:p w14:paraId="1D8D927C" w14:textId="57FD08D1" w:rsidR="00B9071F" w:rsidRPr="00E53977" w:rsidRDefault="00B9071F" w:rsidP="002771FB">
      <w:pPr>
        <w:pStyle w:val="ListParagraph"/>
        <w:widowControl w:val="0"/>
        <w:numPr>
          <w:ilvl w:val="0"/>
          <w:numId w:val="30"/>
        </w:numPr>
        <w:spacing w:line="240" w:lineRule="auto"/>
        <w:ind w:left="450"/>
        <w:rPr>
          <w:rFonts w:cs="Times New Roman"/>
        </w:rPr>
      </w:pPr>
      <w:r w:rsidRPr="00E53977">
        <w:rPr>
          <w:rFonts w:cs="Times New Roman"/>
        </w:rPr>
        <w:t xml:space="preserve">The RS Customs Department should </w:t>
      </w:r>
      <w:r w:rsidR="00452860" w:rsidRPr="00E53977">
        <w:rPr>
          <w:rFonts w:cs="Times New Roman"/>
        </w:rPr>
        <w:t>identify additional</w:t>
      </w:r>
      <w:r w:rsidRPr="00E53977">
        <w:rPr>
          <w:rFonts w:cs="Times New Roman"/>
        </w:rPr>
        <w:t xml:space="preserve"> partnerships to provide additional professional exchange programs and technical assistance from EU experts to ensure that the RS Customs Department is implementing new initiatives appropriately or how to adapt them to maximize their efficacy.</w:t>
      </w:r>
    </w:p>
    <w:p w14:paraId="5B3952E5" w14:textId="6E8E3692" w:rsidR="00B9071F" w:rsidRPr="00E53977" w:rsidRDefault="00B9071F" w:rsidP="002771FB">
      <w:pPr>
        <w:pStyle w:val="ListParagraph"/>
        <w:widowControl w:val="0"/>
        <w:numPr>
          <w:ilvl w:val="0"/>
          <w:numId w:val="30"/>
        </w:numPr>
        <w:spacing w:line="240" w:lineRule="auto"/>
        <w:ind w:left="450"/>
        <w:rPr>
          <w:rFonts w:cs="Times New Roman"/>
        </w:rPr>
      </w:pPr>
      <w:r w:rsidRPr="00E53977">
        <w:rPr>
          <w:rFonts w:cs="Times New Roman"/>
        </w:rPr>
        <w:t xml:space="preserve">The </w:t>
      </w:r>
      <w:r w:rsidR="009916CD" w:rsidRPr="00E53977">
        <w:rPr>
          <w:rFonts w:cs="Times New Roman"/>
        </w:rPr>
        <w:t xml:space="preserve">GAC </w:t>
      </w:r>
      <w:r w:rsidRPr="00E53977">
        <w:rPr>
          <w:rFonts w:cs="Times New Roman"/>
        </w:rPr>
        <w:t xml:space="preserve">should try to speed up the development of the national laboratory accreditation system to </w:t>
      </w:r>
      <w:r w:rsidR="00EF64E8" w:rsidRPr="00E53977">
        <w:rPr>
          <w:rFonts w:cs="Times New Roman"/>
        </w:rPr>
        <w:t>obtain</w:t>
      </w:r>
      <w:r w:rsidRPr="00E53977">
        <w:rPr>
          <w:rFonts w:cs="Times New Roman"/>
        </w:rPr>
        <w:t xml:space="preserve"> mutual recognition from the </w:t>
      </w:r>
      <w:r w:rsidR="00EF64E8" w:rsidRPr="00E53977">
        <w:rPr>
          <w:rFonts w:eastAsia="Times New Roman" w:cs="Times New Roman"/>
          <w:szCs w:val="24"/>
          <w:lang w:eastAsia="en-GB"/>
        </w:rPr>
        <w:t xml:space="preserve">EA, and </w:t>
      </w:r>
      <w:r w:rsidR="00EF64E8" w:rsidRPr="00E53977">
        <w:rPr>
          <w:rFonts w:cs="Times New Roman"/>
        </w:rPr>
        <w:t>it</w:t>
      </w:r>
      <w:r w:rsidRPr="00E53977">
        <w:rPr>
          <w:rFonts w:cs="Times New Roman"/>
        </w:rPr>
        <w:t xml:space="preserve"> should also promote the establishment of one or </w:t>
      </w:r>
      <w:r w:rsidR="00EF64E8" w:rsidRPr="00E53977">
        <w:rPr>
          <w:rFonts w:cs="Times New Roman"/>
        </w:rPr>
        <w:t xml:space="preserve">more </w:t>
      </w:r>
      <w:r w:rsidRPr="00E53977">
        <w:rPr>
          <w:rFonts w:cs="Times New Roman"/>
        </w:rPr>
        <w:t>reference laboratories to focus on covering the majority of methodologies related to laboratory analyses for food safety</w:t>
      </w:r>
      <w:r w:rsidR="00EF64E8" w:rsidRPr="00E53977">
        <w:rPr>
          <w:rFonts w:cs="Times New Roman"/>
        </w:rPr>
        <w:t xml:space="preserve"> and SPS </w:t>
      </w:r>
      <w:r w:rsidRPr="00E53977">
        <w:rPr>
          <w:rFonts w:cs="Times New Roman"/>
        </w:rPr>
        <w:t xml:space="preserve">purposes. </w:t>
      </w:r>
    </w:p>
    <w:p w14:paraId="412E0FB5" w14:textId="0E215AD2" w:rsidR="00B9071F" w:rsidRPr="00E53977" w:rsidRDefault="00B9071F" w:rsidP="002771FB">
      <w:pPr>
        <w:pStyle w:val="ListParagraph"/>
        <w:widowControl w:val="0"/>
        <w:numPr>
          <w:ilvl w:val="0"/>
          <w:numId w:val="30"/>
        </w:numPr>
        <w:spacing w:line="240" w:lineRule="auto"/>
        <w:ind w:left="450"/>
        <w:rPr>
          <w:rFonts w:cs="Times New Roman"/>
        </w:rPr>
      </w:pPr>
      <w:r w:rsidRPr="00E53977">
        <w:rPr>
          <w:rFonts w:cs="Times New Roman"/>
        </w:rPr>
        <w:t xml:space="preserve">The National Anti-Microbial Resistance Strategy, which commenced fully in 2017 by joint implementation by the MEPA, the NFA, and MLHSA, requires </w:t>
      </w:r>
      <w:r w:rsidR="00AD271B" w:rsidRPr="00E53977">
        <w:rPr>
          <w:rFonts w:cs="Times New Roman"/>
        </w:rPr>
        <w:t xml:space="preserve">a </w:t>
      </w:r>
      <w:r w:rsidRPr="00E53977">
        <w:rPr>
          <w:rFonts w:cs="Times New Roman"/>
        </w:rPr>
        <w:t>long</w:t>
      </w:r>
      <w:r w:rsidR="009916CD" w:rsidRPr="00E53977">
        <w:rPr>
          <w:rFonts w:cs="Times New Roman"/>
        </w:rPr>
        <w:t>-</w:t>
      </w:r>
      <w:r w:rsidRPr="00E53977">
        <w:rPr>
          <w:rFonts w:cs="Times New Roman"/>
        </w:rPr>
        <w:t xml:space="preserve">term budget to enable coordination and </w:t>
      </w:r>
      <w:r w:rsidR="00AD271B" w:rsidRPr="00E53977">
        <w:rPr>
          <w:rFonts w:cs="Times New Roman"/>
        </w:rPr>
        <w:t>financing</w:t>
      </w:r>
      <w:r w:rsidRPr="00E53977">
        <w:rPr>
          <w:rFonts w:cs="Times New Roman"/>
        </w:rPr>
        <w:t xml:space="preserve"> necessary to implementation activities. Additionally, MLHSA should take responsibility for approving and registering veterinary medicines according to the strategy to avoid indirect development of anti-microbial resistance from foods of animal origin. MLHSA and MEPA should </w:t>
      </w:r>
      <w:r w:rsidR="00AD271B" w:rsidRPr="00E53977">
        <w:rPr>
          <w:rFonts w:cs="Times New Roman"/>
        </w:rPr>
        <w:t>harmonize their</w:t>
      </w:r>
      <w:r w:rsidRPr="00E53977">
        <w:rPr>
          <w:rFonts w:cs="Times New Roman"/>
        </w:rPr>
        <w:t xml:space="preserve"> system</w:t>
      </w:r>
      <w:r w:rsidR="005E3C35" w:rsidRPr="00E53977">
        <w:rPr>
          <w:rFonts w:cs="Times New Roman"/>
        </w:rPr>
        <w:t>s</w:t>
      </w:r>
      <w:r w:rsidRPr="00E53977">
        <w:rPr>
          <w:rFonts w:cs="Times New Roman"/>
        </w:rPr>
        <w:t xml:space="preserve"> for </w:t>
      </w:r>
      <w:r w:rsidR="005E3C35" w:rsidRPr="00E53977">
        <w:rPr>
          <w:rFonts w:cs="Times New Roman"/>
        </w:rPr>
        <w:t xml:space="preserve">the </w:t>
      </w:r>
      <w:r w:rsidRPr="00E53977">
        <w:rPr>
          <w:rFonts w:cs="Times New Roman"/>
        </w:rPr>
        <w:t>approval and registering of antibiotics for animal and human usage separately.</w:t>
      </w:r>
    </w:p>
    <w:p w14:paraId="43B4193B" w14:textId="64D7E9C8" w:rsidR="00B9071F" w:rsidRPr="00E53977" w:rsidRDefault="00B9071F" w:rsidP="002771FB">
      <w:pPr>
        <w:pStyle w:val="ListParagraph"/>
        <w:widowControl w:val="0"/>
        <w:numPr>
          <w:ilvl w:val="0"/>
          <w:numId w:val="30"/>
        </w:numPr>
        <w:spacing w:line="240" w:lineRule="auto"/>
        <w:ind w:left="450"/>
        <w:rPr>
          <w:rFonts w:eastAsiaTheme="majorEastAsia" w:cstheme="minorHAnsi"/>
          <w:b/>
          <w:caps/>
          <w:color w:val="0070C0"/>
          <w:sz w:val="28"/>
          <w:szCs w:val="32"/>
        </w:rPr>
      </w:pPr>
      <w:r w:rsidRPr="00E53977">
        <w:rPr>
          <w:rFonts w:cs="Times New Roman"/>
        </w:rPr>
        <w:t>The Parliament, with the MEPA, should introduce changes to the Georgian law “Code on Food/Feed Safety, Veterinary and Plant Protection” to adjust the level of penalties for food safety violations to make them relevant to ensure compliance according to the seriousness of the violation(s) and the production volume and/or turnover of the respective FBO.</w:t>
      </w:r>
      <w:bookmarkStart w:id="8" w:name="_Toc508180489"/>
    </w:p>
    <w:p w14:paraId="6F38CCF0" w14:textId="77777777" w:rsidR="00B9071F" w:rsidRPr="00E53977" w:rsidRDefault="00B9071F" w:rsidP="002771FB">
      <w:pPr>
        <w:pStyle w:val="Heading1"/>
        <w:widowControl w:val="0"/>
        <w:spacing w:line="240" w:lineRule="auto"/>
      </w:pPr>
      <w:bookmarkStart w:id="9" w:name="_Toc520906359"/>
      <w:bookmarkEnd w:id="8"/>
      <w:r w:rsidRPr="00E53977">
        <w:lastRenderedPageBreak/>
        <w:t>INTRODUCTION</w:t>
      </w:r>
      <w:bookmarkEnd w:id="9"/>
    </w:p>
    <w:p w14:paraId="711B1197" w14:textId="7F64B91E" w:rsidR="00B9071F" w:rsidRPr="00E53977" w:rsidRDefault="00065871" w:rsidP="002771FB">
      <w:pPr>
        <w:pStyle w:val="Heading2"/>
        <w:widowControl w:val="0"/>
        <w:numPr>
          <w:ilvl w:val="0"/>
          <w:numId w:val="2"/>
        </w:numPr>
        <w:ind w:left="360"/>
      </w:pPr>
      <w:bookmarkStart w:id="10" w:name="_Toc520906360"/>
      <w:r w:rsidRPr="00E53977">
        <w:t>Institutional Context</w:t>
      </w:r>
      <w:bookmarkEnd w:id="10"/>
    </w:p>
    <w:p w14:paraId="367EB82E" w14:textId="77777777" w:rsidR="00B9071F" w:rsidRPr="00E53977" w:rsidRDefault="00B9071F" w:rsidP="002771FB">
      <w:pPr>
        <w:widowControl w:val="0"/>
        <w:spacing w:line="240" w:lineRule="auto"/>
        <w:rPr>
          <w:szCs w:val="24"/>
        </w:rPr>
      </w:pPr>
      <w:r w:rsidRPr="00E53977">
        <w:rPr>
          <w:szCs w:val="24"/>
        </w:rPr>
        <w:t xml:space="preserve">The Georgian food safety system has kept on developing since the introduction of the “Code of Food/Feed Safety, Veterinary and Plant Protection” in 2012 and the signing of the Association Agreement with the EU in 2014. Through the efforts of the Government of Georgia (GoG), the participation of the private sector and civil society organizations, and the donor support, the Georgian Food Safety system has approximated numerous legal instruments with the EU food law, and assumed multiple levels of control and monitoring for food products produced in Georgia and imported from other countries, as well as multiple dimensions of veterinary and phytosanitary programs to ensure the health and safety of animals and plants in Georgia, and most importantly, the human health. </w:t>
      </w:r>
    </w:p>
    <w:p w14:paraId="366C8CF6" w14:textId="02BA3CDE" w:rsidR="00B9071F" w:rsidRPr="00E53977" w:rsidRDefault="00B9071F" w:rsidP="002771FB">
      <w:pPr>
        <w:widowControl w:val="0"/>
        <w:spacing w:line="240" w:lineRule="auto"/>
        <w:rPr>
          <w:szCs w:val="24"/>
        </w:rPr>
      </w:pPr>
      <w:r w:rsidRPr="00E53977">
        <w:rPr>
          <w:szCs w:val="24"/>
        </w:rPr>
        <w:t>The GoG and its agencies, also detect, identify, and investigate foodborne disease outbreaks, as well as, encourage, empower, and financially support various actors enabling them to serve their relevant roles within the system. Furthermore, the private sector stimulates improved food safety practices via developing internal industry standards, public and private laboratories analysis for food products, and services provided by food safety consulting firms. Civil society is putting food safety on political agenda, lobbying GoG to make and meet food safety related commitments under AA and other relevant Georgian international agreements, monitoring progress and advocating for more resources to be invested in the system. Similarly, civil society facilitates engagement with consumers and the inclusion of their perspectives in reforms, while lobbying to ensure protection of consumer health.</w:t>
      </w:r>
      <w:r w:rsidR="000C6B74" w:rsidRPr="00E53977">
        <w:rPr>
          <w:szCs w:val="24"/>
        </w:rPr>
        <w:t xml:space="preserve"> </w:t>
      </w:r>
    </w:p>
    <w:p w14:paraId="7D688172" w14:textId="78891C92" w:rsidR="00B9071F" w:rsidRPr="00E53977" w:rsidRDefault="00B9071F" w:rsidP="002771FB">
      <w:pPr>
        <w:pStyle w:val="Caption"/>
        <w:widowControl w:val="0"/>
        <w:rPr>
          <w:b/>
        </w:rPr>
      </w:pPr>
      <w:bookmarkStart w:id="11" w:name="_Toc479591678"/>
      <w:r w:rsidRPr="00E53977">
        <w:rPr>
          <w:b/>
        </w:rPr>
        <w:t xml:space="preserve">Figure </w:t>
      </w:r>
      <w:r w:rsidRPr="00E53977">
        <w:rPr>
          <w:b/>
        </w:rPr>
        <w:fldChar w:fldCharType="begin"/>
      </w:r>
      <w:r w:rsidRPr="00E53977">
        <w:rPr>
          <w:b/>
        </w:rPr>
        <w:instrText xml:space="preserve"> SEQ Figure \* ARABIC </w:instrText>
      </w:r>
      <w:r w:rsidRPr="00E53977">
        <w:rPr>
          <w:b/>
        </w:rPr>
        <w:fldChar w:fldCharType="separate"/>
      </w:r>
      <w:r w:rsidR="00DD7AFE">
        <w:rPr>
          <w:b/>
          <w:noProof/>
        </w:rPr>
        <w:t>1</w:t>
      </w:r>
      <w:r w:rsidRPr="00E53977">
        <w:rPr>
          <w:b/>
        </w:rPr>
        <w:fldChar w:fldCharType="end"/>
      </w:r>
      <w:r w:rsidRPr="00E53977">
        <w:rPr>
          <w:b/>
        </w:rPr>
        <w:t xml:space="preserve"> - Infographic of the Georgian Food Safety System</w:t>
      </w:r>
      <w:bookmarkEnd w:id="11"/>
    </w:p>
    <w:p w14:paraId="2D3AE894" w14:textId="77777777" w:rsidR="00B9071F" w:rsidRPr="00E53977" w:rsidRDefault="00B9071F" w:rsidP="002771FB">
      <w:pPr>
        <w:widowControl w:val="0"/>
        <w:rPr>
          <w:rStyle w:val="CommentReference"/>
        </w:rPr>
      </w:pPr>
      <w:bookmarkStart w:id="12" w:name="_Hlk480376864"/>
      <w:r w:rsidRPr="00E53977">
        <w:rPr>
          <w:rStyle w:val="CommentReference"/>
          <w:noProof/>
        </w:rPr>
        <w:drawing>
          <wp:inline distT="0" distB="0" distL="0" distR="0" wp14:anchorId="6C85D47B" wp14:editId="687A144D">
            <wp:extent cx="5748108" cy="44805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8108" cy="4480560"/>
                    </a:xfrm>
                    <a:prstGeom prst="rect">
                      <a:avLst/>
                    </a:prstGeom>
                    <a:noFill/>
                  </pic:spPr>
                </pic:pic>
              </a:graphicData>
            </a:graphic>
          </wp:inline>
        </w:drawing>
      </w:r>
    </w:p>
    <w:p w14:paraId="47F93A7A" w14:textId="77777777" w:rsidR="00B9071F" w:rsidRPr="00E53977" w:rsidRDefault="00B9071F" w:rsidP="002771FB">
      <w:pPr>
        <w:widowControl w:val="0"/>
        <w:spacing w:line="240" w:lineRule="auto"/>
      </w:pPr>
      <w:r w:rsidRPr="00E53977">
        <w:lastRenderedPageBreak/>
        <w:t xml:space="preserve">In December 2017, it was announced that the Ministry of Agriculture (MoA) would merge with the Ministry of Environment and Natural Resources Protection (MENRP) to form the Ministry of Environmental Protection and Agriculture (MEPA). This was actualized in January 2018. For consistency of the report, for past performance we refer to MoA and MENRP separately, but for conclusions and recommendations for future implementation, we will refer as MEPA. </w:t>
      </w:r>
    </w:p>
    <w:p w14:paraId="3F452373" w14:textId="77777777" w:rsidR="00B9071F" w:rsidRPr="00E53977" w:rsidRDefault="00B9071F" w:rsidP="002771FB">
      <w:pPr>
        <w:widowControl w:val="0"/>
        <w:spacing w:line="240" w:lineRule="auto"/>
        <w:rPr>
          <w:rFonts w:cs="Times New Roman"/>
          <w:szCs w:val="24"/>
        </w:rPr>
      </w:pPr>
      <w:r w:rsidRPr="00E53977">
        <w:rPr>
          <w:rFonts w:cs="Times New Roman"/>
          <w:szCs w:val="24"/>
        </w:rPr>
        <w:t xml:space="preserve">This assessment report takes note of the achievements of the GoG in its efforts to establish a fully functional food safety system throughout the country to ensure safe food and health for consumers in Georgia and export markets. However, this report focuses on areas where there are shortcomings in some processes, agency authorities and responsibilities, implementation, administration, etc. </w:t>
      </w:r>
    </w:p>
    <w:p w14:paraId="5A6DD768" w14:textId="77777777" w:rsidR="00B9071F" w:rsidRPr="00E53977" w:rsidRDefault="00B9071F" w:rsidP="002771FB">
      <w:pPr>
        <w:widowControl w:val="0"/>
        <w:spacing w:line="240" w:lineRule="auto"/>
        <w:rPr>
          <w:rFonts w:cs="Times New Roman"/>
          <w:szCs w:val="24"/>
        </w:rPr>
      </w:pPr>
      <w:r w:rsidRPr="00E53977">
        <w:rPr>
          <w:rFonts w:cs="Times New Roman"/>
          <w:szCs w:val="24"/>
        </w:rPr>
        <w:t>Conclusions and recommendations are provided at the end of the report directed for specific state institutions participating in the food safety reform process, which will serve the GoG as it proceeds with the next stages of reform.</w:t>
      </w:r>
      <w:bookmarkEnd w:id="12"/>
    </w:p>
    <w:p w14:paraId="42ED8873" w14:textId="3A30F6D2" w:rsidR="00B9071F" w:rsidRPr="00E53977" w:rsidRDefault="00065871" w:rsidP="002771FB">
      <w:pPr>
        <w:pStyle w:val="Heading2"/>
        <w:widowControl w:val="0"/>
      </w:pPr>
      <w:bookmarkStart w:id="13" w:name="_Toc520906361"/>
      <w:r w:rsidRPr="00E53977">
        <w:t>Institutional Development Since 2005</w:t>
      </w:r>
      <w:bookmarkEnd w:id="13"/>
    </w:p>
    <w:p w14:paraId="2D986B2F" w14:textId="1426C80F" w:rsidR="00B9071F" w:rsidRPr="00E53977" w:rsidRDefault="00B9071F" w:rsidP="002771FB">
      <w:pPr>
        <w:widowControl w:val="0"/>
        <w:spacing w:line="240" w:lineRule="auto"/>
        <w:rPr>
          <w:rFonts w:cs="Times New Roman"/>
          <w:szCs w:val="24"/>
        </w:rPr>
      </w:pPr>
      <w:r w:rsidRPr="00E53977">
        <w:rPr>
          <w:rFonts w:cs="Times New Roman"/>
          <w:szCs w:val="24"/>
        </w:rPr>
        <w:t xml:space="preserve">Georgia has been improving the national system for food safety, veterinary and plant protection since the Georgian Parliament passed the “Law on Food Safety and Quality” in December 2005, which consolidated all of the GoG’s food-regulating institutions under the National Service of Food Safety, Veterinary and Plant Protection under the Ministry of Agriculture (NS). However, enactment, implementation and enforcement of the Law was postponed several times in December 2006, June 2007, and December 2009 and finally replaced by the </w:t>
      </w:r>
      <w:r w:rsidRPr="00E53977">
        <w:t xml:space="preserve">“Code of Food/Feed Safety, Veterinary and Plant Protection” in 2012. </w:t>
      </w:r>
      <w:r w:rsidRPr="00E53977">
        <w:rPr>
          <w:rFonts w:cs="Times New Roman"/>
          <w:szCs w:val="24"/>
        </w:rPr>
        <w:t>Before that the NS was reorganized in 2011, renamed as the National Food Agency of the Ministry of Agriculture of Georgia (NFA), and re-established as a legal entity under public law (LEPL), allowing more independence and operational flexibility.</w:t>
      </w:r>
      <w:r w:rsidRPr="00E53977">
        <w:rPr>
          <w:rStyle w:val="FootnoteReference"/>
          <w:rFonts w:cs="Times New Roman"/>
          <w:szCs w:val="24"/>
        </w:rPr>
        <w:footnoteReference w:id="1"/>
      </w:r>
      <w:r w:rsidR="00AB6B2F" w:rsidRPr="00E53977">
        <w:rPr>
          <w:rFonts w:cs="Times New Roman"/>
          <w:szCs w:val="24"/>
        </w:rPr>
        <w:t xml:space="preserve"> </w:t>
      </w:r>
    </w:p>
    <w:p w14:paraId="4B54C7E2" w14:textId="2ED59130" w:rsidR="00B9071F" w:rsidRPr="00E53977" w:rsidRDefault="00B9071F" w:rsidP="002771FB">
      <w:pPr>
        <w:widowControl w:val="0"/>
        <w:spacing w:line="240" w:lineRule="auto"/>
        <w:rPr>
          <w:rFonts w:cs="Times New Roman"/>
          <w:szCs w:val="24"/>
        </w:rPr>
      </w:pPr>
      <w:r w:rsidRPr="00E53977">
        <w:rPr>
          <w:rFonts w:cs="Times New Roman"/>
          <w:szCs w:val="24"/>
        </w:rPr>
        <w:t>From 2011, as a potential of Association Agreement (AA) with the EU developed, food safety regulation was reintroduced as a priority in the Georgian political agenda and gained increasing attention of the Georgian civil society and the donor community. The 2012 Law on “Code of Food/Feed Safety, Veterinary and Plant Protection” became the fundamental legislation for the Georgian food safety system. Implementation of the Code and respective Governmental Decrees is supported by the EU funded Comprehensive Institution Building (CIB) and ENPARD programs since 2011 and 2013 respectively. Civil society has been actively involved by lobbying the GoG to keep food safety high in political agenda, monitoring the success of the reforms at the GoG level, as well as the actual food safety at the consumer level.</w:t>
      </w:r>
    </w:p>
    <w:p w14:paraId="0E8512D4" w14:textId="77777777" w:rsidR="00B9071F" w:rsidRPr="00E53977" w:rsidRDefault="00B9071F" w:rsidP="002771FB">
      <w:pPr>
        <w:widowControl w:val="0"/>
        <w:spacing w:line="240" w:lineRule="auto"/>
        <w:rPr>
          <w:rFonts w:cs="Times New Roman"/>
          <w:szCs w:val="24"/>
        </w:rPr>
      </w:pPr>
      <w:r w:rsidRPr="00E53977">
        <w:rPr>
          <w:rFonts w:cs="Times New Roman"/>
          <w:szCs w:val="24"/>
        </w:rPr>
        <w:t xml:space="preserve">On June 27, 2014, the AA was signed between the EU and Georgia, and went into effect on July 1, 2016. The agreement established the Deep and Comprehensive Free Trade Area (DCFTA) between Georgia and EU Member States. In order for Georgia to receive access to the EU markets with zero import duties, food safety standards were required. Under the agreement, the GoG is to approximate and implement 271 EU legal instruments, which is currently ongoing. </w:t>
      </w:r>
    </w:p>
    <w:p w14:paraId="22300DCF" w14:textId="77777777" w:rsidR="00B9071F" w:rsidRPr="00E53977" w:rsidRDefault="00B9071F" w:rsidP="002771FB">
      <w:pPr>
        <w:widowControl w:val="0"/>
        <w:spacing w:line="240" w:lineRule="auto"/>
      </w:pPr>
      <w:r w:rsidRPr="00E53977">
        <w:rPr>
          <w:rFonts w:cs="Times New Roman"/>
          <w:szCs w:val="24"/>
        </w:rPr>
        <w:t>The GoG’s efforts to develop the nation’s food safety system has been faster and more systematic in 2017 than in any year since 2012</w:t>
      </w:r>
      <w:r w:rsidRPr="00E53977">
        <w:t xml:space="preserve">. </w:t>
      </w:r>
      <w:r w:rsidRPr="00E53977">
        <w:rPr>
          <w:rFonts w:cs="Times New Roman"/>
          <w:szCs w:val="24"/>
        </w:rPr>
        <w:t xml:space="preserve">However, the GoG’s legislative reforms are still being rolled out in annual stages, </w:t>
      </w:r>
      <w:r w:rsidRPr="00E53977">
        <w:t xml:space="preserve">resulting in many areas for which reforms have not yet </w:t>
      </w:r>
      <w:r w:rsidRPr="00E53977">
        <w:lastRenderedPageBreak/>
        <w:t>been introduced.</w:t>
      </w:r>
      <w:r w:rsidRPr="00E53977">
        <w:rPr>
          <w:rStyle w:val="FootnoteReference"/>
        </w:rPr>
        <w:footnoteReference w:id="2"/>
      </w:r>
      <w:r w:rsidRPr="00E53977">
        <w:t xml:space="preserve"> This has also created continuing challenges within the system, ranging from the development of standard operating procedures to the lack of clarity about which state entity has a mandate for a specific control activity.</w:t>
      </w:r>
    </w:p>
    <w:p w14:paraId="288E79EB" w14:textId="7C6C77F4" w:rsidR="00B9071F" w:rsidRPr="00E53977" w:rsidRDefault="00065871" w:rsidP="002771FB">
      <w:pPr>
        <w:pStyle w:val="Heading2"/>
        <w:widowControl w:val="0"/>
      </w:pPr>
      <w:bookmarkStart w:id="14" w:name="_Toc520906362"/>
      <w:r w:rsidRPr="00E53977">
        <w:t>Assessment Methodology</w:t>
      </w:r>
      <w:bookmarkEnd w:id="14"/>
    </w:p>
    <w:p w14:paraId="7CE7FD4A" w14:textId="77777777" w:rsidR="00B9071F" w:rsidRPr="00E53977" w:rsidRDefault="00B9071F" w:rsidP="002771FB">
      <w:pPr>
        <w:widowControl w:val="0"/>
        <w:rPr>
          <w:b/>
          <w:color w:val="0070C0"/>
        </w:rPr>
      </w:pPr>
      <w:bookmarkStart w:id="15" w:name="_Toc508180493"/>
      <w:r w:rsidRPr="00E53977">
        <w:rPr>
          <w:b/>
          <w:color w:val="0070C0"/>
        </w:rPr>
        <w:t>Focus and Terminology</w:t>
      </w:r>
      <w:bookmarkEnd w:id="15"/>
    </w:p>
    <w:p w14:paraId="6AED06AD" w14:textId="29D46F80" w:rsidR="00B9071F" w:rsidRPr="00E53977" w:rsidRDefault="00B9071F" w:rsidP="002771FB">
      <w:pPr>
        <w:widowControl w:val="0"/>
        <w:spacing w:line="240" w:lineRule="auto"/>
      </w:pPr>
      <w:r w:rsidRPr="00E53977">
        <w:t xml:space="preserve">This is the </w:t>
      </w:r>
      <w:r w:rsidR="00FF18ED" w:rsidRPr="00E53977">
        <w:t>7</w:t>
      </w:r>
      <w:r w:rsidR="00FF18ED" w:rsidRPr="00E53977">
        <w:rPr>
          <w:vertAlign w:val="superscript"/>
        </w:rPr>
        <w:t>th</w:t>
      </w:r>
      <w:r w:rsidR="00FF18ED" w:rsidRPr="00E53977">
        <w:t xml:space="preserve"> </w:t>
      </w:r>
      <w:r w:rsidRPr="00E53977">
        <w:t xml:space="preserve">annual assessment of the GoG’s food safety regulatory system and reforms commissioned by Europe Foundation (EPF). The primary focus of the assessment relates to the MEPA and the NFA, the primary organizations responsible for regulating and controlling food safety in Georgia. This assessment also evaluates other line ministries, state agencies, the donor community, international and local non-governmental organizations, and the private sector actors involved in the performance and development of the food safety system in Georgia. </w:t>
      </w:r>
    </w:p>
    <w:p w14:paraId="2226125C" w14:textId="77777777" w:rsidR="00B9071F" w:rsidRPr="00E53977" w:rsidRDefault="00B9071F" w:rsidP="002771FB">
      <w:pPr>
        <w:widowControl w:val="0"/>
        <w:spacing w:line="240" w:lineRule="auto"/>
      </w:pPr>
      <w:r w:rsidRPr="00E53977">
        <w:t xml:space="preserve">In continuity with prior EPF annual assessments, the term “food safety” includes the safety of food items, veterinary (animal health) and phytosanitary protection (plant protection), and epidemiology (human health and the spread of foodborne illness). </w:t>
      </w:r>
    </w:p>
    <w:p w14:paraId="299B2279" w14:textId="77777777" w:rsidR="00B9071F" w:rsidRPr="00E53977" w:rsidRDefault="00B9071F" w:rsidP="002771FB">
      <w:pPr>
        <w:widowControl w:val="0"/>
        <w:rPr>
          <w:b/>
          <w:color w:val="0070C0"/>
        </w:rPr>
      </w:pPr>
      <w:bookmarkStart w:id="16" w:name="_Toc508180494"/>
      <w:r w:rsidRPr="00E53977">
        <w:rPr>
          <w:b/>
          <w:color w:val="0070C0"/>
        </w:rPr>
        <w:t>Data Collection and Analysis</w:t>
      </w:r>
      <w:bookmarkEnd w:id="16"/>
    </w:p>
    <w:p w14:paraId="3F8647A3" w14:textId="77777777" w:rsidR="00B9071F" w:rsidRPr="00E53977" w:rsidRDefault="00B9071F" w:rsidP="002771FB">
      <w:pPr>
        <w:widowControl w:val="0"/>
        <w:spacing w:line="240" w:lineRule="auto"/>
      </w:pPr>
      <w:r w:rsidRPr="00E53977">
        <w:t>The assessment began by conducting desk research of available studies and government data, which included previous assessments on GoG’s reform efforts related to food safety regulations in Georgia as well as r</w:t>
      </w:r>
      <w:r w:rsidRPr="00E53977">
        <w:rPr>
          <w:rFonts w:cs="Times New Roman"/>
          <w:szCs w:val="24"/>
        </w:rPr>
        <w:t xml:space="preserve">elevant survey reports on consumers or food business operators (FBOs). Also </w:t>
      </w:r>
      <w:r w:rsidRPr="00E53977">
        <w:t>r</w:t>
      </w:r>
      <w:r w:rsidRPr="00E53977">
        <w:rPr>
          <w:rFonts w:cs="Times New Roman"/>
          <w:szCs w:val="24"/>
        </w:rPr>
        <w:t xml:space="preserve">elevant strategy documents and reports issued by the GoG and/or civil/donor organizations, as well as </w:t>
      </w:r>
      <w:r w:rsidRPr="00E53977">
        <w:t>p</w:t>
      </w:r>
      <w:r w:rsidRPr="00E53977">
        <w:rPr>
          <w:rFonts w:cs="Times New Roman"/>
          <w:szCs w:val="24"/>
        </w:rPr>
        <w:t>ublic information provided by GoG and European Union (EU) entities were included in the desk research.</w:t>
      </w:r>
    </w:p>
    <w:p w14:paraId="1D76FD3A" w14:textId="3DC55319" w:rsidR="00B9071F" w:rsidRPr="00E53977" w:rsidRDefault="00B9071F" w:rsidP="002771FB">
      <w:pPr>
        <w:widowControl w:val="0"/>
        <w:spacing w:line="240" w:lineRule="auto"/>
        <w:rPr>
          <w:rFonts w:cs="Times New Roman"/>
          <w:szCs w:val="24"/>
        </w:rPr>
      </w:pPr>
      <w:r w:rsidRPr="00E53977">
        <w:rPr>
          <w:rFonts w:cs="Times New Roman"/>
          <w:szCs w:val="24"/>
        </w:rPr>
        <w:t xml:space="preserve">The assessment team, </w:t>
      </w:r>
      <w:r w:rsidR="00FF18ED" w:rsidRPr="00E53977">
        <w:rPr>
          <w:rFonts w:cs="Times New Roman"/>
          <w:szCs w:val="24"/>
        </w:rPr>
        <w:t>consisting</w:t>
      </w:r>
      <w:r w:rsidRPr="00E53977">
        <w:rPr>
          <w:rFonts w:cs="Times New Roman"/>
          <w:szCs w:val="24"/>
        </w:rPr>
        <w:t xml:space="preserve"> of international and national specialists, employed two qualitative evaluation assessment models with open-ended, semi-structured questioning: </w:t>
      </w:r>
      <w:r w:rsidR="00FF18ED" w:rsidRPr="00E53977">
        <w:rPr>
          <w:rFonts w:cs="Times New Roman"/>
          <w:szCs w:val="24"/>
        </w:rPr>
        <w:t>i</w:t>
      </w:r>
      <w:r w:rsidRPr="00E53977">
        <w:rPr>
          <w:rFonts w:cs="Times New Roman"/>
          <w:szCs w:val="24"/>
        </w:rPr>
        <w:t>nterviews with key industry experts, GoG representatives, civil society organizations, FBOs, and consumers</w:t>
      </w:r>
      <w:r w:rsidR="00FF18ED" w:rsidRPr="00E53977">
        <w:rPr>
          <w:rFonts w:cs="Times New Roman"/>
          <w:szCs w:val="24"/>
        </w:rPr>
        <w:t xml:space="preserve"> and f</w:t>
      </w:r>
      <w:r w:rsidRPr="00E53977">
        <w:rPr>
          <w:rFonts w:cs="Times New Roman"/>
          <w:szCs w:val="24"/>
        </w:rPr>
        <w:t xml:space="preserve">ocus groups of FBOs (urban and rural), importers, laboratories, and consumers (urban and rural). </w:t>
      </w:r>
    </w:p>
    <w:p w14:paraId="78DD58B5" w14:textId="5611B1AF" w:rsidR="00B9071F" w:rsidRPr="00E53977" w:rsidRDefault="00555EC6" w:rsidP="002771FB">
      <w:pPr>
        <w:widowControl w:val="0"/>
        <w:spacing w:line="240" w:lineRule="auto"/>
        <w:rPr>
          <w:rFonts w:cs="Times New Roman"/>
          <w:szCs w:val="24"/>
        </w:rPr>
      </w:pPr>
      <w:r w:rsidRPr="00E53977">
        <w:rPr>
          <w:rFonts w:cs="Times New Roman"/>
          <w:szCs w:val="24"/>
        </w:rPr>
        <w:t>As with the 2016 assessment, t</w:t>
      </w:r>
      <w:r w:rsidR="00B9071F" w:rsidRPr="00E53977">
        <w:rPr>
          <w:rFonts w:cs="Times New Roman"/>
          <w:szCs w:val="24"/>
        </w:rPr>
        <w:t>he methodology used during interviews and focus groups is based on Edwards and Holland, 2013</w:t>
      </w:r>
      <w:r w:rsidR="00B9071F" w:rsidRPr="00E53977">
        <w:rPr>
          <w:rStyle w:val="FootnoteReference"/>
          <w:rFonts w:cs="Times New Roman"/>
          <w:szCs w:val="24"/>
        </w:rPr>
        <w:footnoteReference w:id="3"/>
      </w:r>
      <w:r w:rsidR="00B9071F" w:rsidRPr="00E53977">
        <w:rPr>
          <w:rFonts w:cs="Times New Roman"/>
          <w:szCs w:val="24"/>
        </w:rPr>
        <w:t xml:space="preserve"> and Rubin and Rubin, 2012</w:t>
      </w:r>
      <w:r w:rsidR="00B9071F" w:rsidRPr="00E53977">
        <w:rPr>
          <w:rStyle w:val="FootnoteReference"/>
          <w:rFonts w:cs="Times New Roman"/>
          <w:szCs w:val="24"/>
        </w:rPr>
        <w:footnoteReference w:id="4"/>
      </w:r>
      <w:r w:rsidR="00B9071F" w:rsidRPr="00E53977">
        <w:rPr>
          <w:rFonts w:cs="Times New Roman"/>
          <w:szCs w:val="24"/>
        </w:rPr>
        <w:t>. The team developed customized questionnaires for each type of interviewees’ role and responsibility related to the food safety system in Georgia, but also allowed for informal discussions that explore topics of interest to the interviewee related to the evaluation. For objectivity, the information collected was from 55 respondents across Georgia</w:t>
      </w:r>
      <w:r w:rsidR="00B9071F" w:rsidRPr="00E53977">
        <w:rPr>
          <w:rStyle w:val="FootnoteReference"/>
          <w:rFonts w:cs="Times New Roman"/>
          <w:szCs w:val="24"/>
        </w:rPr>
        <w:footnoteReference w:id="5"/>
      </w:r>
      <w:r w:rsidR="00B9071F" w:rsidRPr="00E53977">
        <w:rPr>
          <w:rFonts w:cs="Times New Roman"/>
          <w:szCs w:val="24"/>
        </w:rPr>
        <w:t>, and consisted of representatives from the GoG, civil society, business community, donor organizations, and foreign experts working in Georgia.</w:t>
      </w:r>
    </w:p>
    <w:p w14:paraId="5EA11243" w14:textId="7946E1F1" w:rsidR="00B9071F" w:rsidRPr="00E53977" w:rsidRDefault="00555EC6" w:rsidP="002771FB">
      <w:pPr>
        <w:widowControl w:val="0"/>
        <w:spacing w:line="240" w:lineRule="auto"/>
        <w:rPr>
          <w:rFonts w:cs="Times New Roman"/>
          <w:szCs w:val="24"/>
        </w:rPr>
      </w:pPr>
      <w:r w:rsidRPr="00E53977">
        <w:rPr>
          <w:rFonts w:cs="Times New Roman"/>
          <w:szCs w:val="24"/>
        </w:rPr>
        <w:t>T</w:t>
      </w:r>
      <w:r w:rsidR="00B9071F" w:rsidRPr="00E53977">
        <w:rPr>
          <w:rFonts w:cs="Times New Roman"/>
          <w:szCs w:val="24"/>
        </w:rPr>
        <w:t>he assessment team collected qualitative, perception-oriented data by conducting eight focus group meetings of 5-10 participants each. Four focus groups covered Food Business Operators (FBOs) who were, in 2017, under the official control of the NFA in Tbilisi, Batumi, Ozurgeti and Marneuli, as well as one group of food importers in Batumi. Two focus groups were conducted with consumers having faced problems with food in Tbilisi and Batumi, and one control group in Tbilisi.</w:t>
      </w:r>
    </w:p>
    <w:p w14:paraId="64466D94" w14:textId="77777777" w:rsidR="00B9071F" w:rsidRPr="00E53977" w:rsidRDefault="00B9071F" w:rsidP="002771FB">
      <w:pPr>
        <w:widowControl w:val="0"/>
        <w:spacing w:line="240" w:lineRule="auto"/>
        <w:rPr>
          <w:rFonts w:cs="Times New Roman"/>
          <w:szCs w:val="24"/>
        </w:rPr>
      </w:pPr>
      <w:r w:rsidRPr="00E53977">
        <w:rPr>
          <w:rFonts w:cs="Times New Roman"/>
          <w:szCs w:val="24"/>
        </w:rPr>
        <w:lastRenderedPageBreak/>
        <w:t xml:space="preserve">As the efforts of the GoG are directed by the terms of the AA with the EU on June 27, 2014, this assessment report focuses on developments related to the food safety system since the applying of the AA in July 1, 2016 and approving of the latest version of the respective AA legal approximation plan in March 2017. The assessment team focused on collecting quantitative statistics, analyzing the performance of the Georgian food safety system in 2017. Based on these analyses, recommendations for specific GoG entities can be found in the ending chapters of this report. </w:t>
      </w:r>
    </w:p>
    <w:p w14:paraId="7CE6AD6A" w14:textId="77777777" w:rsidR="00B9071F" w:rsidRPr="00E53977" w:rsidRDefault="00B9071F" w:rsidP="002771FB">
      <w:pPr>
        <w:widowControl w:val="0"/>
        <w:spacing w:line="240" w:lineRule="auto"/>
        <w:rPr>
          <w:rFonts w:cs="Times New Roman"/>
          <w:szCs w:val="24"/>
        </w:rPr>
      </w:pPr>
    </w:p>
    <w:p w14:paraId="3897B5DE" w14:textId="77777777" w:rsidR="00B9071F" w:rsidRPr="00E53977" w:rsidRDefault="00B9071F" w:rsidP="002771FB">
      <w:pPr>
        <w:pStyle w:val="Heading1"/>
        <w:widowControl w:val="0"/>
        <w:spacing w:line="240" w:lineRule="auto"/>
      </w:pPr>
      <w:bookmarkStart w:id="17" w:name="_Toc520906363"/>
      <w:r w:rsidRPr="00E53977">
        <w:t>LEGISLATION AND STATE POLICY</w:t>
      </w:r>
      <w:bookmarkEnd w:id="17"/>
    </w:p>
    <w:p w14:paraId="2F28D0F4" w14:textId="3576A081" w:rsidR="00B9071F" w:rsidRPr="00E53977" w:rsidRDefault="00065871" w:rsidP="002771FB">
      <w:pPr>
        <w:pStyle w:val="Heading2"/>
        <w:widowControl w:val="0"/>
        <w:numPr>
          <w:ilvl w:val="0"/>
          <w:numId w:val="34"/>
        </w:numPr>
        <w:ind w:left="360"/>
      </w:pPr>
      <w:bookmarkStart w:id="18" w:name="_Toc520906364"/>
      <w:r w:rsidRPr="00E53977">
        <w:t>Approximation of Georgian Legislation with EU Legislation</w:t>
      </w:r>
      <w:bookmarkEnd w:id="18"/>
    </w:p>
    <w:p w14:paraId="4BE4E92C" w14:textId="0C8D6550" w:rsidR="00B9071F" w:rsidRPr="00E53977" w:rsidRDefault="00B9071F" w:rsidP="002771FB">
      <w:pPr>
        <w:pStyle w:val="Heading3"/>
      </w:pPr>
      <w:bookmarkStart w:id="19" w:name="_Toc508180497"/>
      <w:r w:rsidRPr="00E53977">
        <w:t xml:space="preserve">Status </w:t>
      </w:r>
      <w:r w:rsidR="00251415" w:rsidRPr="00E53977">
        <w:t>of Approximated Legal Instruments</w:t>
      </w:r>
      <w:bookmarkEnd w:id="19"/>
    </w:p>
    <w:p w14:paraId="27D2103B" w14:textId="48B6C74F" w:rsidR="00B9071F" w:rsidRPr="00E53977" w:rsidRDefault="008A449D" w:rsidP="002771FB">
      <w:pPr>
        <w:widowControl w:val="0"/>
        <w:spacing w:line="240" w:lineRule="auto"/>
      </w:pPr>
      <w:r w:rsidRPr="00E53977">
        <w:t>In March 2017,</w:t>
      </w:r>
      <w:r w:rsidR="00B9071F" w:rsidRPr="00E53977">
        <w:t xml:space="preserve"> </w:t>
      </w:r>
      <w:r w:rsidR="002F7483" w:rsidRPr="00E53977">
        <w:t xml:space="preserve">the MoA and EU Commission agreed on revisions and </w:t>
      </w:r>
      <w:r w:rsidR="00B67A3F" w:rsidRPr="00E53977">
        <w:t>updated</w:t>
      </w:r>
      <w:r w:rsidR="002F7483" w:rsidRPr="00E53977">
        <w:t xml:space="preserve"> </w:t>
      </w:r>
      <w:r w:rsidR="00B9071F" w:rsidRPr="00E53977">
        <w:t xml:space="preserve">the </w:t>
      </w:r>
      <w:r w:rsidR="002F7483" w:rsidRPr="00E53977">
        <w:t xml:space="preserve">2014 </w:t>
      </w:r>
      <w:r w:rsidR="00B9071F" w:rsidRPr="00E53977">
        <w:t>legal approximation plan. It is currently included as an annex to the AA and specifies the approximation of Georgian legislation with 271 normative acts of the EU’s food safety regime to take place from 2015 to 2027. The schedule according to the current plan of normative acts to be approximated is outlined in the following table:</w:t>
      </w:r>
    </w:p>
    <w:p w14:paraId="40C579B5" w14:textId="29F94B3E" w:rsidR="00B9071F" w:rsidRPr="00E53977" w:rsidRDefault="00B9071F" w:rsidP="002771FB">
      <w:pPr>
        <w:pStyle w:val="Caption"/>
        <w:widowControl w:val="0"/>
        <w:rPr>
          <w:b/>
        </w:rPr>
      </w:pPr>
      <w:bookmarkStart w:id="20" w:name="_Toc479591679"/>
      <w:r w:rsidRPr="00E53977">
        <w:rPr>
          <w:b/>
        </w:rPr>
        <w:t xml:space="preserve">Figure </w:t>
      </w:r>
      <w:r w:rsidRPr="00E53977">
        <w:rPr>
          <w:b/>
        </w:rPr>
        <w:fldChar w:fldCharType="begin"/>
      </w:r>
      <w:r w:rsidRPr="00E53977">
        <w:rPr>
          <w:b/>
        </w:rPr>
        <w:instrText xml:space="preserve"> SEQ Figure \* ARABIC </w:instrText>
      </w:r>
      <w:r w:rsidRPr="00E53977">
        <w:rPr>
          <w:b/>
        </w:rPr>
        <w:fldChar w:fldCharType="separate"/>
      </w:r>
      <w:r w:rsidR="00DD7AFE">
        <w:rPr>
          <w:b/>
          <w:noProof/>
        </w:rPr>
        <w:t>2</w:t>
      </w:r>
      <w:r w:rsidRPr="00E53977">
        <w:rPr>
          <w:b/>
        </w:rPr>
        <w:fldChar w:fldCharType="end"/>
      </w:r>
      <w:r w:rsidRPr="00E53977">
        <w:rPr>
          <w:b/>
        </w:rPr>
        <w:t xml:space="preserve"> - Legal Approximation Plan Schedule</w:t>
      </w:r>
      <w:bookmarkEnd w:id="20"/>
    </w:p>
    <w:tbl>
      <w:tblPr>
        <w:tblW w:w="5000" w:type="pct"/>
        <w:jc w:val="center"/>
        <w:tblLook w:val="04A0" w:firstRow="1" w:lastRow="0" w:firstColumn="1" w:lastColumn="0" w:noHBand="0" w:noVBand="1"/>
      </w:tblPr>
      <w:tblGrid>
        <w:gridCol w:w="1346"/>
        <w:gridCol w:w="590"/>
        <w:gridCol w:w="590"/>
        <w:gridCol w:w="590"/>
        <w:gridCol w:w="590"/>
        <w:gridCol w:w="590"/>
        <w:gridCol w:w="590"/>
        <w:gridCol w:w="590"/>
        <w:gridCol w:w="590"/>
        <w:gridCol w:w="590"/>
        <w:gridCol w:w="590"/>
        <w:gridCol w:w="590"/>
        <w:gridCol w:w="590"/>
        <w:gridCol w:w="590"/>
      </w:tblGrid>
      <w:tr w:rsidR="00B9071F" w:rsidRPr="00E53977" w14:paraId="32644FAA" w14:textId="77777777" w:rsidTr="00FF581B">
        <w:trPr>
          <w:trHeight w:val="263"/>
          <w:jc w:val="center"/>
        </w:trPr>
        <w:tc>
          <w:tcPr>
            <w:tcW w:w="7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2DAD929" w14:textId="77777777" w:rsidR="00B9071F" w:rsidRPr="00E53977" w:rsidRDefault="00B9071F" w:rsidP="002771FB">
            <w:pPr>
              <w:widowControl w:val="0"/>
              <w:spacing w:after="0" w:line="240" w:lineRule="auto"/>
              <w:jc w:val="left"/>
              <w:rPr>
                <w:rFonts w:eastAsia="Times New Roman" w:cs="Times New Roman"/>
                <w:b/>
                <w:color w:val="FFFFFF"/>
                <w:sz w:val="18"/>
                <w:szCs w:val="18"/>
              </w:rPr>
            </w:pPr>
            <w:r w:rsidRPr="00E53977">
              <w:rPr>
                <w:rFonts w:eastAsia="Times New Roman" w:cs="Times New Roman"/>
                <w:b/>
                <w:color w:val="FFFFFF"/>
                <w:sz w:val="18"/>
                <w:szCs w:val="18"/>
              </w:rPr>
              <w:t>Policy Area</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50C9F3E1"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2015</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6E9DCD7C"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2016</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36E10A94"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2017</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725FA568"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2018</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5A597839"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2019</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3565FCD9"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2020</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24A1D804"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2021</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6FE8DA5B"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2022</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530DCB25"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2023</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53372E78"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2024</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06FE9E3E"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2025</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71097288"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2026</w:t>
            </w:r>
          </w:p>
        </w:tc>
        <w:tc>
          <w:tcPr>
            <w:tcW w:w="327" w:type="pct"/>
            <w:tcBorders>
              <w:top w:val="single" w:sz="4" w:space="0" w:color="auto"/>
              <w:left w:val="nil"/>
              <w:bottom w:val="single" w:sz="4" w:space="0" w:color="auto"/>
              <w:right w:val="single" w:sz="4" w:space="0" w:color="auto"/>
            </w:tcBorders>
            <w:shd w:val="clear" w:color="auto" w:fill="0070C0"/>
            <w:noWrap/>
            <w:vAlign w:val="center"/>
            <w:hideMark/>
          </w:tcPr>
          <w:p w14:paraId="127BCC96" w14:textId="77777777" w:rsidR="00B9071F" w:rsidRPr="00E53977" w:rsidRDefault="00B9071F" w:rsidP="002771FB">
            <w:pPr>
              <w:widowControl w:val="0"/>
              <w:spacing w:after="0" w:line="240" w:lineRule="auto"/>
              <w:jc w:val="center"/>
              <w:rPr>
                <w:rFonts w:eastAsia="Times New Roman" w:cs="Times New Roman"/>
                <w:b/>
                <w:bCs/>
                <w:color w:val="FFFFFF"/>
                <w:sz w:val="18"/>
                <w:szCs w:val="18"/>
              </w:rPr>
            </w:pPr>
            <w:r w:rsidRPr="00E53977">
              <w:rPr>
                <w:rFonts w:eastAsia="Times New Roman" w:cs="Times New Roman"/>
                <w:b/>
                <w:bCs/>
                <w:color w:val="FFFFFF"/>
                <w:sz w:val="18"/>
                <w:szCs w:val="18"/>
              </w:rPr>
              <w:t>2027</w:t>
            </w:r>
          </w:p>
        </w:tc>
      </w:tr>
      <w:tr w:rsidR="00B9071F" w:rsidRPr="00E53977" w14:paraId="5C121F68" w14:textId="77777777" w:rsidTr="00FF581B">
        <w:trPr>
          <w:trHeight w:val="263"/>
          <w:jc w:val="center"/>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4D50F6F0" w14:textId="77777777" w:rsidR="00B9071F" w:rsidRPr="00E53977" w:rsidRDefault="00B9071F" w:rsidP="002771FB">
            <w:pPr>
              <w:widowControl w:val="0"/>
              <w:spacing w:after="0" w:line="240" w:lineRule="auto"/>
              <w:jc w:val="left"/>
              <w:rPr>
                <w:rFonts w:eastAsia="Times New Roman" w:cs="Times New Roman"/>
                <w:b/>
                <w:bCs/>
                <w:color w:val="000000"/>
                <w:sz w:val="18"/>
                <w:szCs w:val="18"/>
              </w:rPr>
            </w:pPr>
            <w:r w:rsidRPr="00E53977">
              <w:rPr>
                <w:rFonts w:eastAsia="Times New Roman" w:cs="Times New Roman"/>
                <w:b/>
                <w:bCs/>
                <w:color w:val="000000"/>
                <w:sz w:val="18"/>
                <w:szCs w:val="18"/>
              </w:rPr>
              <w:t>Food Safety</w:t>
            </w:r>
          </w:p>
        </w:tc>
        <w:tc>
          <w:tcPr>
            <w:tcW w:w="327" w:type="pct"/>
            <w:tcBorders>
              <w:top w:val="nil"/>
              <w:left w:val="nil"/>
              <w:bottom w:val="single" w:sz="4" w:space="0" w:color="auto"/>
              <w:right w:val="single" w:sz="4" w:space="0" w:color="auto"/>
            </w:tcBorders>
            <w:shd w:val="clear" w:color="auto" w:fill="auto"/>
            <w:noWrap/>
            <w:vAlign w:val="center"/>
            <w:hideMark/>
          </w:tcPr>
          <w:p w14:paraId="361E2849"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16</w:t>
            </w:r>
          </w:p>
        </w:tc>
        <w:tc>
          <w:tcPr>
            <w:tcW w:w="327" w:type="pct"/>
            <w:tcBorders>
              <w:top w:val="nil"/>
              <w:left w:val="nil"/>
              <w:bottom w:val="single" w:sz="4" w:space="0" w:color="auto"/>
              <w:right w:val="single" w:sz="4" w:space="0" w:color="auto"/>
            </w:tcBorders>
            <w:shd w:val="clear" w:color="auto" w:fill="auto"/>
            <w:noWrap/>
            <w:vAlign w:val="center"/>
            <w:hideMark/>
          </w:tcPr>
          <w:p w14:paraId="3DFC3CDB"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13</w:t>
            </w:r>
          </w:p>
        </w:tc>
        <w:tc>
          <w:tcPr>
            <w:tcW w:w="327" w:type="pct"/>
            <w:tcBorders>
              <w:top w:val="nil"/>
              <w:left w:val="nil"/>
              <w:bottom w:val="single" w:sz="4" w:space="0" w:color="auto"/>
              <w:right w:val="single" w:sz="4" w:space="0" w:color="auto"/>
            </w:tcBorders>
            <w:shd w:val="clear" w:color="auto" w:fill="auto"/>
            <w:noWrap/>
            <w:vAlign w:val="center"/>
            <w:hideMark/>
          </w:tcPr>
          <w:p w14:paraId="10B76A37"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9</w:t>
            </w:r>
          </w:p>
        </w:tc>
        <w:tc>
          <w:tcPr>
            <w:tcW w:w="327" w:type="pct"/>
            <w:tcBorders>
              <w:top w:val="nil"/>
              <w:left w:val="nil"/>
              <w:bottom w:val="single" w:sz="4" w:space="0" w:color="auto"/>
              <w:right w:val="single" w:sz="4" w:space="0" w:color="auto"/>
            </w:tcBorders>
            <w:shd w:val="clear" w:color="auto" w:fill="auto"/>
            <w:noWrap/>
            <w:vAlign w:val="center"/>
            <w:hideMark/>
          </w:tcPr>
          <w:p w14:paraId="67726C7C"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6</w:t>
            </w:r>
          </w:p>
        </w:tc>
        <w:tc>
          <w:tcPr>
            <w:tcW w:w="327" w:type="pct"/>
            <w:tcBorders>
              <w:top w:val="nil"/>
              <w:left w:val="nil"/>
              <w:bottom w:val="single" w:sz="4" w:space="0" w:color="auto"/>
              <w:right w:val="single" w:sz="4" w:space="0" w:color="auto"/>
            </w:tcBorders>
            <w:shd w:val="clear" w:color="auto" w:fill="auto"/>
            <w:noWrap/>
            <w:vAlign w:val="center"/>
            <w:hideMark/>
          </w:tcPr>
          <w:p w14:paraId="2BB8CD34"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7</w:t>
            </w:r>
          </w:p>
        </w:tc>
        <w:tc>
          <w:tcPr>
            <w:tcW w:w="327" w:type="pct"/>
            <w:tcBorders>
              <w:top w:val="nil"/>
              <w:left w:val="nil"/>
              <w:bottom w:val="single" w:sz="4" w:space="0" w:color="auto"/>
              <w:right w:val="single" w:sz="4" w:space="0" w:color="auto"/>
            </w:tcBorders>
            <w:shd w:val="clear" w:color="auto" w:fill="auto"/>
            <w:noWrap/>
            <w:vAlign w:val="center"/>
            <w:hideMark/>
          </w:tcPr>
          <w:p w14:paraId="6BA51CE7"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9</w:t>
            </w:r>
          </w:p>
        </w:tc>
        <w:tc>
          <w:tcPr>
            <w:tcW w:w="327" w:type="pct"/>
            <w:tcBorders>
              <w:top w:val="nil"/>
              <w:left w:val="nil"/>
              <w:bottom w:val="single" w:sz="4" w:space="0" w:color="auto"/>
              <w:right w:val="single" w:sz="4" w:space="0" w:color="auto"/>
            </w:tcBorders>
            <w:shd w:val="clear" w:color="auto" w:fill="auto"/>
            <w:noWrap/>
            <w:vAlign w:val="center"/>
            <w:hideMark/>
          </w:tcPr>
          <w:p w14:paraId="3852C207"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7</w:t>
            </w:r>
          </w:p>
        </w:tc>
        <w:tc>
          <w:tcPr>
            <w:tcW w:w="327" w:type="pct"/>
            <w:tcBorders>
              <w:top w:val="nil"/>
              <w:left w:val="nil"/>
              <w:bottom w:val="single" w:sz="4" w:space="0" w:color="auto"/>
              <w:right w:val="single" w:sz="4" w:space="0" w:color="auto"/>
            </w:tcBorders>
            <w:shd w:val="clear" w:color="auto" w:fill="auto"/>
            <w:noWrap/>
            <w:vAlign w:val="center"/>
            <w:hideMark/>
          </w:tcPr>
          <w:p w14:paraId="59EA66F9"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7</w:t>
            </w:r>
          </w:p>
        </w:tc>
        <w:tc>
          <w:tcPr>
            <w:tcW w:w="327" w:type="pct"/>
            <w:tcBorders>
              <w:top w:val="nil"/>
              <w:left w:val="nil"/>
              <w:bottom w:val="single" w:sz="4" w:space="0" w:color="auto"/>
              <w:right w:val="single" w:sz="4" w:space="0" w:color="auto"/>
            </w:tcBorders>
            <w:shd w:val="clear" w:color="auto" w:fill="auto"/>
            <w:noWrap/>
            <w:vAlign w:val="center"/>
            <w:hideMark/>
          </w:tcPr>
          <w:p w14:paraId="107D55E5"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8</w:t>
            </w:r>
          </w:p>
        </w:tc>
        <w:tc>
          <w:tcPr>
            <w:tcW w:w="327" w:type="pct"/>
            <w:tcBorders>
              <w:top w:val="nil"/>
              <w:left w:val="nil"/>
              <w:bottom w:val="single" w:sz="4" w:space="0" w:color="auto"/>
              <w:right w:val="single" w:sz="4" w:space="0" w:color="auto"/>
            </w:tcBorders>
            <w:shd w:val="clear" w:color="auto" w:fill="auto"/>
            <w:noWrap/>
            <w:vAlign w:val="center"/>
            <w:hideMark/>
          </w:tcPr>
          <w:p w14:paraId="3354FA33"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7</w:t>
            </w:r>
          </w:p>
        </w:tc>
        <w:tc>
          <w:tcPr>
            <w:tcW w:w="327" w:type="pct"/>
            <w:tcBorders>
              <w:top w:val="nil"/>
              <w:left w:val="nil"/>
              <w:bottom w:val="single" w:sz="4" w:space="0" w:color="auto"/>
              <w:right w:val="single" w:sz="4" w:space="0" w:color="auto"/>
            </w:tcBorders>
            <w:shd w:val="clear" w:color="auto" w:fill="auto"/>
            <w:noWrap/>
            <w:vAlign w:val="center"/>
            <w:hideMark/>
          </w:tcPr>
          <w:p w14:paraId="5E0F3F5B"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4</w:t>
            </w:r>
          </w:p>
        </w:tc>
        <w:tc>
          <w:tcPr>
            <w:tcW w:w="327" w:type="pct"/>
            <w:tcBorders>
              <w:top w:val="nil"/>
              <w:left w:val="nil"/>
              <w:bottom w:val="single" w:sz="4" w:space="0" w:color="auto"/>
              <w:right w:val="single" w:sz="4" w:space="0" w:color="auto"/>
            </w:tcBorders>
            <w:shd w:val="clear" w:color="auto" w:fill="auto"/>
            <w:noWrap/>
            <w:vAlign w:val="center"/>
            <w:hideMark/>
          </w:tcPr>
          <w:p w14:paraId="09FE752E"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9</w:t>
            </w:r>
          </w:p>
        </w:tc>
        <w:tc>
          <w:tcPr>
            <w:tcW w:w="327" w:type="pct"/>
            <w:tcBorders>
              <w:top w:val="nil"/>
              <w:left w:val="nil"/>
              <w:bottom w:val="single" w:sz="4" w:space="0" w:color="auto"/>
              <w:right w:val="single" w:sz="4" w:space="0" w:color="auto"/>
            </w:tcBorders>
            <w:shd w:val="clear" w:color="auto" w:fill="auto"/>
            <w:noWrap/>
            <w:vAlign w:val="center"/>
            <w:hideMark/>
          </w:tcPr>
          <w:p w14:paraId="01E22781"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w:t>
            </w:r>
          </w:p>
        </w:tc>
      </w:tr>
      <w:tr w:rsidR="00B9071F" w:rsidRPr="00E53977" w14:paraId="7468B314" w14:textId="77777777" w:rsidTr="00FF581B">
        <w:trPr>
          <w:trHeight w:val="263"/>
          <w:jc w:val="center"/>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3E4BC4AE" w14:textId="77777777" w:rsidR="00B9071F" w:rsidRPr="00E53977" w:rsidRDefault="00B9071F" w:rsidP="002771FB">
            <w:pPr>
              <w:widowControl w:val="0"/>
              <w:spacing w:after="0" w:line="240" w:lineRule="auto"/>
              <w:jc w:val="left"/>
              <w:rPr>
                <w:rFonts w:eastAsia="Times New Roman" w:cs="Times New Roman"/>
                <w:b/>
                <w:bCs/>
                <w:color w:val="000000"/>
                <w:sz w:val="18"/>
                <w:szCs w:val="18"/>
              </w:rPr>
            </w:pPr>
            <w:r w:rsidRPr="00E53977">
              <w:rPr>
                <w:rFonts w:eastAsia="Times New Roman" w:cs="Times New Roman"/>
                <w:b/>
                <w:bCs/>
                <w:color w:val="000000"/>
                <w:sz w:val="18"/>
                <w:szCs w:val="18"/>
              </w:rPr>
              <w:t>Veterinary</w:t>
            </w:r>
          </w:p>
        </w:tc>
        <w:tc>
          <w:tcPr>
            <w:tcW w:w="327" w:type="pct"/>
            <w:tcBorders>
              <w:top w:val="nil"/>
              <w:left w:val="nil"/>
              <w:bottom w:val="single" w:sz="4" w:space="0" w:color="auto"/>
              <w:right w:val="single" w:sz="4" w:space="0" w:color="auto"/>
            </w:tcBorders>
            <w:shd w:val="clear" w:color="auto" w:fill="auto"/>
            <w:noWrap/>
            <w:vAlign w:val="center"/>
            <w:hideMark/>
          </w:tcPr>
          <w:p w14:paraId="7BC52744"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10</w:t>
            </w:r>
          </w:p>
        </w:tc>
        <w:tc>
          <w:tcPr>
            <w:tcW w:w="327" w:type="pct"/>
            <w:tcBorders>
              <w:top w:val="nil"/>
              <w:left w:val="nil"/>
              <w:bottom w:val="single" w:sz="4" w:space="0" w:color="auto"/>
              <w:right w:val="single" w:sz="4" w:space="0" w:color="auto"/>
            </w:tcBorders>
            <w:shd w:val="clear" w:color="auto" w:fill="auto"/>
            <w:noWrap/>
            <w:vAlign w:val="center"/>
            <w:hideMark/>
          </w:tcPr>
          <w:p w14:paraId="558056A9"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9</w:t>
            </w:r>
          </w:p>
        </w:tc>
        <w:tc>
          <w:tcPr>
            <w:tcW w:w="327" w:type="pct"/>
            <w:tcBorders>
              <w:top w:val="nil"/>
              <w:left w:val="nil"/>
              <w:bottom w:val="single" w:sz="4" w:space="0" w:color="auto"/>
              <w:right w:val="single" w:sz="4" w:space="0" w:color="auto"/>
            </w:tcBorders>
            <w:shd w:val="clear" w:color="auto" w:fill="auto"/>
            <w:noWrap/>
            <w:vAlign w:val="center"/>
            <w:hideMark/>
          </w:tcPr>
          <w:p w14:paraId="37896E15"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7</w:t>
            </w:r>
          </w:p>
        </w:tc>
        <w:tc>
          <w:tcPr>
            <w:tcW w:w="327" w:type="pct"/>
            <w:tcBorders>
              <w:top w:val="nil"/>
              <w:left w:val="nil"/>
              <w:bottom w:val="single" w:sz="4" w:space="0" w:color="auto"/>
              <w:right w:val="single" w:sz="4" w:space="0" w:color="auto"/>
            </w:tcBorders>
            <w:shd w:val="clear" w:color="auto" w:fill="auto"/>
            <w:noWrap/>
            <w:vAlign w:val="center"/>
            <w:hideMark/>
          </w:tcPr>
          <w:p w14:paraId="2E50E98E"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9</w:t>
            </w:r>
          </w:p>
        </w:tc>
        <w:tc>
          <w:tcPr>
            <w:tcW w:w="327" w:type="pct"/>
            <w:tcBorders>
              <w:top w:val="nil"/>
              <w:left w:val="nil"/>
              <w:bottom w:val="single" w:sz="4" w:space="0" w:color="auto"/>
              <w:right w:val="single" w:sz="4" w:space="0" w:color="auto"/>
            </w:tcBorders>
            <w:shd w:val="clear" w:color="auto" w:fill="auto"/>
            <w:noWrap/>
            <w:vAlign w:val="center"/>
            <w:hideMark/>
          </w:tcPr>
          <w:p w14:paraId="711CC2D3"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7</w:t>
            </w:r>
          </w:p>
        </w:tc>
        <w:tc>
          <w:tcPr>
            <w:tcW w:w="327" w:type="pct"/>
            <w:tcBorders>
              <w:top w:val="nil"/>
              <w:left w:val="nil"/>
              <w:bottom w:val="single" w:sz="4" w:space="0" w:color="auto"/>
              <w:right w:val="single" w:sz="4" w:space="0" w:color="auto"/>
            </w:tcBorders>
            <w:shd w:val="clear" w:color="auto" w:fill="auto"/>
            <w:noWrap/>
            <w:vAlign w:val="center"/>
            <w:hideMark/>
          </w:tcPr>
          <w:p w14:paraId="776B1B79"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7</w:t>
            </w:r>
          </w:p>
        </w:tc>
        <w:tc>
          <w:tcPr>
            <w:tcW w:w="327" w:type="pct"/>
            <w:tcBorders>
              <w:top w:val="nil"/>
              <w:left w:val="nil"/>
              <w:bottom w:val="single" w:sz="4" w:space="0" w:color="auto"/>
              <w:right w:val="single" w:sz="4" w:space="0" w:color="auto"/>
            </w:tcBorders>
            <w:shd w:val="clear" w:color="auto" w:fill="auto"/>
            <w:noWrap/>
            <w:vAlign w:val="center"/>
            <w:hideMark/>
          </w:tcPr>
          <w:p w14:paraId="6309F6DA"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5</w:t>
            </w:r>
          </w:p>
        </w:tc>
        <w:tc>
          <w:tcPr>
            <w:tcW w:w="327" w:type="pct"/>
            <w:tcBorders>
              <w:top w:val="nil"/>
              <w:left w:val="nil"/>
              <w:bottom w:val="single" w:sz="4" w:space="0" w:color="auto"/>
              <w:right w:val="single" w:sz="4" w:space="0" w:color="auto"/>
            </w:tcBorders>
            <w:shd w:val="clear" w:color="auto" w:fill="auto"/>
            <w:noWrap/>
            <w:vAlign w:val="center"/>
            <w:hideMark/>
          </w:tcPr>
          <w:p w14:paraId="104FF9D1"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9</w:t>
            </w:r>
          </w:p>
        </w:tc>
        <w:tc>
          <w:tcPr>
            <w:tcW w:w="327" w:type="pct"/>
            <w:tcBorders>
              <w:top w:val="nil"/>
              <w:left w:val="nil"/>
              <w:bottom w:val="single" w:sz="4" w:space="0" w:color="auto"/>
              <w:right w:val="single" w:sz="4" w:space="0" w:color="auto"/>
            </w:tcBorders>
            <w:shd w:val="clear" w:color="auto" w:fill="auto"/>
            <w:noWrap/>
            <w:vAlign w:val="center"/>
            <w:hideMark/>
          </w:tcPr>
          <w:p w14:paraId="672F7AA0"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3</w:t>
            </w:r>
          </w:p>
        </w:tc>
        <w:tc>
          <w:tcPr>
            <w:tcW w:w="327" w:type="pct"/>
            <w:tcBorders>
              <w:top w:val="nil"/>
              <w:left w:val="nil"/>
              <w:bottom w:val="single" w:sz="4" w:space="0" w:color="auto"/>
              <w:right w:val="single" w:sz="4" w:space="0" w:color="auto"/>
            </w:tcBorders>
            <w:shd w:val="clear" w:color="auto" w:fill="auto"/>
            <w:noWrap/>
            <w:vAlign w:val="center"/>
            <w:hideMark/>
          </w:tcPr>
          <w:p w14:paraId="238032B4"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5</w:t>
            </w:r>
          </w:p>
        </w:tc>
        <w:tc>
          <w:tcPr>
            <w:tcW w:w="327" w:type="pct"/>
            <w:tcBorders>
              <w:top w:val="nil"/>
              <w:left w:val="nil"/>
              <w:bottom w:val="single" w:sz="4" w:space="0" w:color="auto"/>
              <w:right w:val="single" w:sz="4" w:space="0" w:color="auto"/>
            </w:tcBorders>
            <w:shd w:val="clear" w:color="auto" w:fill="auto"/>
            <w:noWrap/>
            <w:vAlign w:val="center"/>
            <w:hideMark/>
          </w:tcPr>
          <w:p w14:paraId="0825F06C"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4</w:t>
            </w:r>
          </w:p>
        </w:tc>
        <w:tc>
          <w:tcPr>
            <w:tcW w:w="327" w:type="pct"/>
            <w:tcBorders>
              <w:top w:val="nil"/>
              <w:left w:val="nil"/>
              <w:bottom w:val="single" w:sz="4" w:space="0" w:color="auto"/>
              <w:right w:val="single" w:sz="4" w:space="0" w:color="auto"/>
            </w:tcBorders>
            <w:shd w:val="clear" w:color="auto" w:fill="auto"/>
            <w:noWrap/>
            <w:vAlign w:val="center"/>
            <w:hideMark/>
          </w:tcPr>
          <w:p w14:paraId="32850839"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6</w:t>
            </w:r>
          </w:p>
        </w:tc>
        <w:tc>
          <w:tcPr>
            <w:tcW w:w="327" w:type="pct"/>
            <w:tcBorders>
              <w:top w:val="nil"/>
              <w:left w:val="nil"/>
              <w:bottom w:val="single" w:sz="4" w:space="0" w:color="auto"/>
              <w:right w:val="single" w:sz="4" w:space="0" w:color="auto"/>
            </w:tcBorders>
            <w:shd w:val="clear" w:color="auto" w:fill="auto"/>
            <w:noWrap/>
            <w:vAlign w:val="center"/>
            <w:hideMark/>
          </w:tcPr>
          <w:p w14:paraId="349933E5"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3</w:t>
            </w:r>
          </w:p>
        </w:tc>
      </w:tr>
      <w:tr w:rsidR="00B9071F" w:rsidRPr="00E53977" w14:paraId="4FB145CA" w14:textId="77777777" w:rsidTr="00FF581B">
        <w:trPr>
          <w:trHeight w:val="270"/>
          <w:jc w:val="center"/>
        </w:trPr>
        <w:tc>
          <w:tcPr>
            <w:tcW w:w="746" w:type="pct"/>
            <w:tcBorders>
              <w:top w:val="nil"/>
              <w:left w:val="single" w:sz="4" w:space="0" w:color="auto"/>
              <w:bottom w:val="double" w:sz="6" w:space="0" w:color="auto"/>
              <w:right w:val="single" w:sz="4" w:space="0" w:color="auto"/>
            </w:tcBorders>
            <w:shd w:val="clear" w:color="auto" w:fill="auto"/>
            <w:noWrap/>
            <w:vAlign w:val="center"/>
            <w:hideMark/>
          </w:tcPr>
          <w:p w14:paraId="6FAAECC4" w14:textId="77777777" w:rsidR="00B9071F" w:rsidRPr="00E53977" w:rsidRDefault="00B9071F" w:rsidP="002771FB">
            <w:pPr>
              <w:widowControl w:val="0"/>
              <w:spacing w:after="0" w:line="240" w:lineRule="auto"/>
              <w:jc w:val="left"/>
              <w:rPr>
                <w:rFonts w:eastAsia="Times New Roman" w:cs="Times New Roman"/>
                <w:b/>
                <w:bCs/>
                <w:color w:val="000000"/>
                <w:sz w:val="18"/>
                <w:szCs w:val="18"/>
              </w:rPr>
            </w:pPr>
            <w:r w:rsidRPr="00E53977">
              <w:rPr>
                <w:rFonts w:eastAsia="Times New Roman" w:cs="Times New Roman"/>
                <w:b/>
                <w:bCs/>
                <w:color w:val="000000"/>
                <w:sz w:val="18"/>
                <w:szCs w:val="18"/>
              </w:rPr>
              <w:t>Phytosanitary</w:t>
            </w:r>
          </w:p>
        </w:tc>
        <w:tc>
          <w:tcPr>
            <w:tcW w:w="327" w:type="pct"/>
            <w:tcBorders>
              <w:top w:val="nil"/>
              <w:left w:val="nil"/>
              <w:bottom w:val="double" w:sz="6" w:space="0" w:color="auto"/>
              <w:right w:val="single" w:sz="4" w:space="0" w:color="auto"/>
            </w:tcBorders>
            <w:shd w:val="clear" w:color="auto" w:fill="auto"/>
            <w:noWrap/>
            <w:vAlign w:val="center"/>
            <w:hideMark/>
          </w:tcPr>
          <w:p w14:paraId="0B4A07A1"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4</w:t>
            </w:r>
          </w:p>
        </w:tc>
        <w:tc>
          <w:tcPr>
            <w:tcW w:w="327" w:type="pct"/>
            <w:tcBorders>
              <w:top w:val="nil"/>
              <w:left w:val="nil"/>
              <w:bottom w:val="double" w:sz="6" w:space="0" w:color="auto"/>
              <w:right w:val="single" w:sz="4" w:space="0" w:color="auto"/>
            </w:tcBorders>
            <w:shd w:val="clear" w:color="auto" w:fill="auto"/>
            <w:noWrap/>
            <w:vAlign w:val="center"/>
            <w:hideMark/>
          </w:tcPr>
          <w:p w14:paraId="321358AC"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3</w:t>
            </w:r>
          </w:p>
        </w:tc>
        <w:tc>
          <w:tcPr>
            <w:tcW w:w="327" w:type="pct"/>
            <w:tcBorders>
              <w:top w:val="nil"/>
              <w:left w:val="nil"/>
              <w:bottom w:val="double" w:sz="6" w:space="0" w:color="auto"/>
              <w:right w:val="single" w:sz="4" w:space="0" w:color="auto"/>
            </w:tcBorders>
            <w:shd w:val="clear" w:color="auto" w:fill="auto"/>
            <w:noWrap/>
            <w:vAlign w:val="center"/>
            <w:hideMark/>
          </w:tcPr>
          <w:p w14:paraId="2B3D8644"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3</w:t>
            </w:r>
          </w:p>
        </w:tc>
        <w:tc>
          <w:tcPr>
            <w:tcW w:w="327" w:type="pct"/>
            <w:tcBorders>
              <w:top w:val="nil"/>
              <w:left w:val="nil"/>
              <w:bottom w:val="double" w:sz="6" w:space="0" w:color="auto"/>
              <w:right w:val="single" w:sz="4" w:space="0" w:color="auto"/>
            </w:tcBorders>
            <w:shd w:val="clear" w:color="auto" w:fill="auto"/>
            <w:noWrap/>
            <w:vAlign w:val="center"/>
            <w:hideMark/>
          </w:tcPr>
          <w:p w14:paraId="7254B8FD"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9</w:t>
            </w:r>
          </w:p>
        </w:tc>
        <w:tc>
          <w:tcPr>
            <w:tcW w:w="327" w:type="pct"/>
            <w:tcBorders>
              <w:top w:val="nil"/>
              <w:left w:val="nil"/>
              <w:bottom w:val="double" w:sz="6" w:space="0" w:color="auto"/>
              <w:right w:val="single" w:sz="4" w:space="0" w:color="auto"/>
            </w:tcBorders>
            <w:shd w:val="clear" w:color="auto" w:fill="auto"/>
            <w:noWrap/>
            <w:vAlign w:val="center"/>
            <w:hideMark/>
          </w:tcPr>
          <w:p w14:paraId="3749BD65"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8</w:t>
            </w:r>
          </w:p>
        </w:tc>
        <w:tc>
          <w:tcPr>
            <w:tcW w:w="327" w:type="pct"/>
            <w:tcBorders>
              <w:top w:val="nil"/>
              <w:left w:val="nil"/>
              <w:bottom w:val="double" w:sz="6" w:space="0" w:color="auto"/>
              <w:right w:val="single" w:sz="4" w:space="0" w:color="auto"/>
            </w:tcBorders>
            <w:shd w:val="clear" w:color="auto" w:fill="auto"/>
            <w:noWrap/>
            <w:vAlign w:val="center"/>
            <w:hideMark/>
          </w:tcPr>
          <w:p w14:paraId="22F38C5B"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10</w:t>
            </w:r>
          </w:p>
        </w:tc>
        <w:tc>
          <w:tcPr>
            <w:tcW w:w="327" w:type="pct"/>
            <w:tcBorders>
              <w:top w:val="nil"/>
              <w:left w:val="nil"/>
              <w:bottom w:val="double" w:sz="6" w:space="0" w:color="auto"/>
              <w:right w:val="single" w:sz="4" w:space="0" w:color="auto"/>
            </w:tcBorders>
            <w:shd w:val="clear" w:color="auto" w:fill="auto"/>
            <w:noWrap/>
            <w:vAlign w:val="center"/>
            <w:hideMark/>
          </w:tcPr>
          <w:p w14:paraId="745C4F87"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4</w:t>
            </w:r>
          </w:p>
        </w:tc>
        <w:tc>
          <w:tcPr>
            <w:tcW w:w="327" w:type="pct"/>
            <w:tcBorders>
              <w:top w:val="nil"/>
              <w:left w:val="nil"/>
              <w:bottom w:val="double" w:sz="6" w:space="0" w:color="auto"/>
              <w:right w:val="single" w:sz="4" w:space="0" w:color="auto"/>
            </w:tcBorders>
            <w:shd w:val="clear" w:color="auto" w:fill="auto"/>
            <w:noWrap/>
            <w:vAlign w:val="center"/>
            <w:hideMark/>
          </w:tcPr>
          <w:p w14:paraId="1463F165"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10</w:t>
            </w:r>
          </w:p>
        </w:tc>
        <w:tc>
          <w:tcPr>
            <w:tcW w:w="327" w:type="pct"/>
            <w:tcBorders>
              <w:top w:val="nil"/>
              <w:left w:val="nil"/>
              <w:bottom w:val="double" w:sz="6" w:space="0" w:color="auto"/>
              <w:right w:val="single" w:sz="4" w:space="0" w:color="auto"/>
            </w:tcBorders>
            <w:shd w:val="clear" w:color="auto" w:fill="auto"/>
            <w:noWrap/>
            <w:vAlign w:val="center"/>
            <w:hideMark/>
          </w:tcPr>
          <w:p w14:paraId="59307333"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12</w:t>
            </w:r>
          </w:p>
        </w:tc>
        <w:tc>
          <w:tcPr>
            <w:tcW w:w="327" w:type="pct"/>
            <w:tcBorders>
              <w:top w:val="nil"/>
              <w:left w:val="nil"/>
              <w:bottom w:val="double" w:sz="6" w:space="0" w:color="auto"/>
              <w:right w:val="single" w:sz="4" w:space="0" w:color="auto"/>
            </w:tcBorders>
            <w:shd w:val="clear" w:color="auto" w:fill="auto"/>
            <w:noWrap/>
            <w:vAlign w:val="center"/>
            <w:hideMark/>
          </w:tcPr>
          <w:p w14:paraId="32C05E9E"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7</w:t>
            </w:r>
          </w:p>
        </w:tc>
        <w:tc>
          <w:tcPr>
            <w:tcW w:w="327" w:type="pct"/>
            <w:tcBorders>
              <w:top w:val="nil"/>
              <w:left w:val="nil"/>
              <w:bottom w:val="double" w:sz="6" w:space="0" w:color="auto"/>
              <w:right w:val="single" w:sz="4" w:space="0" w:color="auto"/>
            </w:tcBorders>
            <w:shd w:val="clear" w:color="auto" w:fill="auto"/>
            <w:noWrap/>
            <w:vAlign w:val="center"/>
            <w:hideMark/>
          </w:tcPr>
          <w:p w14:paraId="18FAAD3D"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7</w:t>
            </w:r>
          </w:p>
        </w:tc>
        <w:tc>
          <w:tcPr>
            <w:tcW w:w="327" w:type="pct"/>
            <w:tcBorders>
              <w:top w:val="nil"/>
              <w:left w:val="nil"/>
              <w:bottom w:val="double" w:sz="6" w:space="0" w:color="auto"/>
              <w:right w:val="single" w:sz="4" w:space="0" w:color="auto"/>
            </w:tcBorders>
            <w:shd w:val="clear" w:color="auto" w:fill="auto"/>
            <w:noWrap/>
            <w:vAlign w:val="center"/>
            <w:hideMark/>
          </w:tcPr>
          <w:p w14:paraId="63D4CED5"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8</w:t>
            </w:r>
          </w:p>
        </w:tc>
        <w:tc>
          <w:tcPr>
            <w:tcW w:w="327" w:type="pct"/>
            <w:tcBorders>
              <w:top w:val="nil"/>
              <w:left w:val="nil"/>
              <w:bottom w:val="double" w:sz="6" w:space="0" w:color="auto"/>
              <w:right w:val="single" w:sz="4" w:space="0" w:color="auto"/>
            </w:tcBorders>
            <w:shd w:val="clear" w:color="auto" w:fill="auto"/>
            <w:noWrap/>
            <w:vAlign w:val="center"/>
            <w:hideMark/>
          </w:tcPr>
          <w:p w14:paraId="760F9AC4" w14:textId="77777777" w:rsidR="00B9071F" w:rsidRPr="00E53977" w:rsidRDefault="00B9071F" w:rsidP="002771FB">
            <w:pPr>
              <w:widowControl w:val="0"/>
              <w:spacing w:after="0" w:line="240" w:lineRule="auto"/>
              <w:jc w:val="center"/>
              <w:rPr>
                <w:rFonts w:eastAsia="Times New Roman" w:cs="Times New Roman"/>
                <w:color w:val="000000"/>
                <w:sz w:val="18"/>
                <w:szCs w:val="18"/>
              </w:rPr>
            </w:pPr>
            <w:r w:rsidRPr="00E53977">
              <w:rPr>
                <w:rFonts w:cs="Times New Roman"/>
                <w:sz w:val="18"/>
                <w:szCs w:val="18"/>
              </w:rPr>
              <w:t>-</w:t>
            </w:r>
          </w:p>
        </w:tc>
      </w:tr>
      <w:tr w:rsidR="00B9071F" w:rsidRPr="00E53977" w14:paraId="14D758DB" w14:textId="77777777" w:rsidTr="00FF581B">
        <w:trPr>
          <w:trHeight w:val="270"/>
          <w:jc w:val="center"/>
        </w:trPr>
        <w:tc>
          <w:tcPr>
            <w:tcW w:w="746" w:type="pct"/>
            <w:tcBorders>
              <w:top w:val="nil"/>
              <w:left w:val="single" w:sz="4" w:space="0" w:color="auto"/>
              <w:bottom w:val="single" w:sz="4" w:space="0" w:color="auto"/>
              <w:right w:val="single" w:sz="4" w:space="0" w:color="auto"/>
            </w:tcBorders>
            <w:shd w:val="clear" w:color="000000" w:fill="D9D9D9"/>
            <w:noWrap/>
            <w:vAlign w:val="center"/>
            <w:hideMark/>
          </w:tcPr>
          <w:p w14:paraId="5ECF487F" w14:textId="77777777" w:rsidR="00B9071F" w:rsidRPr="00E53977" w:rsidRDefault="00B9071F" w:rsidP="002771FB">
            <w:pPr>
              <w:widowControl w:val="0"/>
              <w:spacing w:after="0" w:line="240" w:lineRule="auto"/>
              <w:jc w:val="right"/>
              <w:rPr>
                <w:rFonts w:eastAsia="Times New Roman" w:cs="Times New Roman"/>
                <w:b/>
                <w:bCs/>
                <w:color w:val="000000"/>
                <w:sz w:val="18"/>
                <w:szCs w:val="18"/>
              </w:rPr>
            </w:pPr>
            <w:r w:rsidRPr="00E53977">
              <w:rPr>
                <w:rFonts w:eastAsia="Times New Roman" w:cs="Times New Roman"/>
                <w:b/>
                <w:bCs/>
                <w:color w:val="000000"/>
                <w:sz w:val="18"/>
                <w:szCs w:val="18"/>
              </w:rPr>
              <w:t>Total</w:t>
            </w:r>
          </w:p>
        </w:tc>
        <w:tc>
          <w:tcPr>
            <w:tcW w:w="327" w:type="pct"/>
            <w:tcBorders>
              <w:top w:val="nil"/>
              <w:left w:val="nil"/>
              <w:bottom w:val="single" w:sz="4" w:space="0" w:color="auto"/>
              <w:right w:val="single" w:sz="4" w:space="0" w:color="auto"/>
            </w:tcBorders>
            <w:shd w:val="clear" w:color="000000" w:fill="D9D9D9"/>
            <w:noWrap/>
            <w:vAlign w:val="center"/>
            <w:hideMark/>
          </w:tcPr>
          <w:p w14:paraId="511D227A"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30</w:t>
            </w:r>
          </w:p>
        </w:tc>
        <w:tc>
          <w:tcPr>
            <w:tcW w:w="327" w:type="pct"/>
            <w:tcBorders>
              <w:top w:val="nil"/>
              <w:left w:val="nil"/>
              <w:bottom w:val="single" w:sz="4" w:space="0" w:color="auto"/>
              <w:right w:val="single" w:sz="4" w:space="0" w:color="auto"/>
            </w:tcBorders>
            <w:shd w:val="clear" w:color="000000" w:fill="D9D9D9"/>
            <w:noWrap/>
            <w:vAlign w:val="center"/>
            <w:hideMark/>
          </w:tcPr>
          <w:p w14:paraId="65C08333"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25</w:t>
            </w:r>
          </w:p>
        </w:tc>
        <w:tc>
          <w:tcPr>
            <w:tcW w:w="327" w:type="pct"/>
            <w:tcBorders>
              <w:top w:val="nil"/>
              <w:left w:val="nil"/>
              <w:bottom w:val="single" w:sz="4" w:space="0" w:color="auto"/>
              <w:right w:val="single" w:sz="4" w:space="0" w:color="auto"/>
            </w:tcBorders>
            <w:shd w:val="clear" w:color="000000" w:fill="D9D9D9"/>
            <w:noWrap/>
            <w:vAlign w:val="center"/>
            <w:hideMark/>
          </w:tcPr>
          <w:p w14:paraId="25763669"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19</w:t>
            </w:r>
          </w:p>
        </w:tc>
        <w:tc>
          <w:tcPr>
            <w:tcW w:w="327" w:type="pct"/>
            <w:tcBorders>
              <w:top w:val="nil"/>
              <w:left w:val="nil"/>
              <w:bottom w:val="single" w:sz="4" w:space="0" w:color="auto"/>
              <w:right w:val="single" w:sz="4" w:space="0" w:color="auto"/>
            </w:tcBorders>
            <w:shd w:val="clear" w:color="000000" w:fill="D9D9D9"/>
            <w:noWrap/>
            <w:vAlign w:val="center"/>
            <w:hideMark/>
          </w:tcPr>
          <w:p w14:paraId="43122FCA"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24</w:t>
            </w:r>
          </w:p>
        </w:tc>
        <w:tc>
          <w:tcPr>
            <w:tcW w:w="327" w:type="pct"/>
            <w:tcBorders>
              <w:top w:val="nil"/>
              <w:left w:val="nil"/>
              <w:bottom w:val="single" w:sz="4" w:space="0" w:color="auto"/>
              <w:right w:val="single" w:sz="4" w:space="0" w:color="auto"/>
            </w:tcBorders>
            <w:shd w:val="clear" w:color="000000" w:fill="D9D9D9"/>
            <w:noWrap/>
            <w:vAlign w:val="center"/>
            <w:hideMark/>
          </w:tcPr>
          <w:p w14:paraId="2BC02376"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22</w:t>
            </w:r>
          </w:p>
        </w:tc>
        <w:tc>
          <w:tcPr>
            <w:tcW w:w="327" w:type="pct"/>
            <w:tcBorders>
              <w:top w:val="nil"/>
              <w:left w:val="nil"/>
              <w:bottom w:val="single" w:sz="4" w:space="0" w:color="auto"/>
              <w:right w:val="single" w:sz="4" w:space="0" w:color="auto"/>
            </w:tcBorders>
            <w:shd w:val="clear" w:color="000000" w:fill="D9D9D9"/>
            <w:noWrap/>
            <w:vAlign w:val="center"/>
            <w:hideMark/>
          </w:tcPr>
          <w:p w14:paraId="051D3FDC"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26</w:t>
            </w:r>
          </w:p>
        </w:tc>
        <w:tc>
          <w:tcPr>
            <w:tcW w:w="327" w:type="pct"/>
            <w:tcBorders>
              <w:top w:val="nil"/>
              <w:left w:val="nil"/>
              <w:bottom w:val="single" w:sz="4" w:space="0" w:color="auto"/>
              <w:right w:val="single" w:sz="4" w:space="0" w:color="auto"/>
            </w:tcBorders>
            <w:shd w:val="clear" w:color="000000" w:fill="D9D9D9"/>
            <w:noWrap/>
            <w:vAlign w:val="center"/>
            <w:hideMark/>
          </w:tcPr>
          <w:p w14:paraId="4E27942B"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16</w:t>
            </w:r>
          </w:p>
        </w:tc>
        <w:tc>
          <w:tcPr>
            <w:tcW w:w="327" w:type="pct"/>
            <w:tcBorders>
              <w:top w:val="nil"/>
              <w:left w:val="nil"/>
              <w:bottom w:val="single" w:sz="4" w:space="0" w:color="auto"/>
              <w:right w:val="single" w:sz="4" w:space="0" w:color="auto"/>
            </w:tcBorders>
            <w:shd w:val="clear" w:color="000000" w:fill="D9D9D9"/>
            <w:noWrap/>
            <w:vAlign w:val="center"/>
            <w:hideMark/>
          </w:tcPr>
          <w:p w14:paraId="5F6C06C4"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26</w:t>
            </w:r>
          </w:p>
        </w:tc>
        <w:tc>
          <w:tcPr>
            <w:tcW w:w="327" w:type="pct"/>
            <w:tcBorders>
              <w:top w:val="nil"/>
              <w:left w:val="nil"/>
              <w:bottom w:val="single" w:sz="4" w:space="0" w:color="auto"/>
              <w:right w:val="single" w:sz="4" w:space="0" w:color="auto"/>
            </w:tcBorders>
            <w:shd w:val="clear" w:color="000000" w:fill="D9D9D9"/>
            <w:noWrap/>
            <w:vAlign w:val="center"/>
            <w:hideMark/>
          </w:tcPr>
          <w:p w14:paraId="4E4C828A"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23</w:t>
            </w:r>
          </w:p>
        </w:tc>
        <w:tc>
          <w:tcPr>
            <w:tcW w:w="327" w:type="pct"/>
            <w:tcBorders>
              <w:top w:val="nil"/>
              <w:left w:val="nil"/>
              <w:bottom w:val="single" w:sz="4" w:space="0" w:color="auto"/>
              <w:right w:val="single" w:sz="4" w:space="0" w:color="auto"/>
            </w:tcBorders>
            <w:shd w:val="clear" w:color="000000" w:fill="D9D9D9"/>
            <w:noWrap/>
            <w:vAlign w:val="center"/>
            <w:hideMark/>
          </w:tcPr>
          <w:p w14:paraId="6838D334"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19</w:t>
            </w:r>
          </w:p>
        </w:tc>
        <w:tc>
          <w:tcPr>
            <w:tcW w:w="327" w:type="pct"/>
            <w:tcBorders>
              <w:top w:val="nil"/>
              <w:left w:val="nil"/>
              <w:bottom w:val="single" w:sz="4" w:space="0" w:color="auto"/>
              <w:right w:val="single" w:sz="4" w:space="0" w:color="auto"/>
            </w:tcBorders>
            <w:shd w:val="clear" w:color="000000" w:fill="D9D9D9"/>
            <w:noWrap/>
            <w:vAlign w:val="center"/>
            <w:hideMark/>
          </w:tcPr>
          <w:p w14:paraId="670B6162"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15</w:t>
            </w:r>
          </w:p>
        </w:tc>
        <w:tc>
          <w:tcPr>
            <w:tcW w:w="327" w:type="pct"/>
            <w:tcBorders>
              <w:top w:val="nil"/>
              <w:left w:val="nil"/>
              <w:bottom w:val="single" w:sz="4" w:space="0" w:color="auto"/>
              <w:right w:val="single" w:sz="4" w:space="0" w:color="auto"/>
            </w:tcBorders>
            <w:shd w:val="clear" w:color="000000" w:fill="D9D9D9"/>
            <w:noWrap/>
            <w:vAlign w:val="center"/>
            <w:hideMark/>
          </w:tcPr>
          <w:p w14:paraId="3AA3D13B"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23</w:t>
            </w:r>
          </w:p>
        </w:tc>
        <w:tc>
          <w:tcPr>
            <w:tcW w:w="327" w:type="pct"/>
            <w:tcBorders>
              <w:top w:val="nil"/>
              <w:left w:val="nil"/>
              <w:bottom w:val="single" w:sz="4" w:space="0" w:color="auto"/>
              <w:right w:val="single" w:sz="4" w:space="0" w:color="auto"/>
            </w:tcBorders>
            <w:shd w:val="clear" w:color="000000" w:fill="D9D9D9"/>
            <w:noWrap/>
            <w:vAlign w:val="center"/>
            <w:hideMark/>
          </w:tcPr>
          <w:p w14:paraId="399E9C1A" w14:textId="77777777" w:rsidR="00B9071F" w:rsidRPr="00E53977" w:rsidRDefault="00B9071F" w:rsidP="002771FB">
            <w:pPr>
              <w:widowControl w:val="0"/>
              <w:spacing w:after="0" w:line="240" w:lineRule="auto"/>
              <w:jc w:val="center"/>
              <w:rPr>
                <w:rFonts w:eastAsia="Times New Roman" w:cs="Times New Roman"/>
                <w:b/>
                <w:bCs/>
                <w:color w:val="000000"/>
                <w:sz w:val="18"/>
                <w:szCs w:val="18"/>
              </w:rPr>
            </w:pPr>
            <w:r w:rsidRPr="00E53977">
              <w:rPr>
                <w:rFonts w:cs="Times New Roman"/>
                <w:b/>
                <w:sz w:val="18"/>
                <w:szCs w:val="18"/>
              </w:rPr>
              <w:t>3</w:t>
            </w:r>
          </w:p>
        </w:tc>
      </w:tr>
    </w:tbl>
    <w:p w14:paraId="24788102" w14:textId="77777777" w:rsidR="00B9071F" w:rsidRPr="00E53977" w:rsidRDefault="00B9071F" w:rsidP="002771FB">
      <w:pPr>
        <w:pStyle w:val="NoSpacing"/>
        <w:widowControl w:val="0"/>
      </w:pPr>
    </w:p>
    <w:p w14:paraId="3DF9ED16" w14:textId="77777777" w:rsidR="00B9071F" w:rsidRPr="00E53977" w:rsidRDefault="00B9071F" w:rsidP="002771FB">
      <w:pPr>
        <w:widowControl w:val="0"/>
        <w:spacing w:line="240" w:lineRule="auto"/>
      </w:pPr>
      <w:bookmarkStart w:id="21" w:name="_Hlk479610574"/>
      <w:r w:rsidRPr="00E53977">
        <w:t>In 2017, the MoA completed 100% of the 19 normative acts planned to approximated, with 9 related to food safety, 7 related to veterinary standards, and 3 related to phytosanitary protection. This is a significant achievement, as MoA has approximated all 74 acts according to plan, with 38 related to food safety, 19 for veterinary standards, and 10 for phytosanitary protection.</w:t>
      </w:r>
      <w:r w:rsidRPr="00E53977">
        <w:rPr>
          <w:rStyle w:val="FootnoteReference"/>
        </w:rPr>
        <w:footnoteReference w:id="6"/>
      </w:r>
      <w:r w:rsidRPr="00E53977">
        <w:t xml:space="preserve"> </w:t>
      </w:r>
      <w:r w:rsidRPr="00E53977">
        <w:rPr>
          <w:rFonts w:cs="Times New Roman"/>
          <w:szCs w:val="24"/>
        </w:rPr>
        <w:t xml:space="preserve">It is important to note that the approximation plan is a dynamic process, with ongoing negotiations and modifications. Two of the planned veterinary acts were deemed unnecessary by the GoG and DG Sante. </w:t>
      </w:r>
      <w:r w:rsidRPr="00E53977">
        <w:t>In addition to the approximated acts, MoA working groups prepared 34 Tables of Conformance (ToCs).</w:t>
      </w:r>
    </w:p>
    <w:p w14:paraId="38094A25" w14:textId="617DA9EB" w:rsidR="00B9071F" w:rsidRPr="00E53977" w:rsidRDefault="00B9071F" w:rsidP="002771FB">
      <w:pPr>
        <w:pStyle w:val="Heading3"/>
      </w:pPr>
      <w:r w:rsidRPr="00E53977">
        <w:t xml:space="preserve">Status </w:t>
      </w:r>
      <w:r w:rsidR="00251415" w:rsidRPr="00E53977">
        <w:t>of the Drafting and Implementation Process</w:t>
      </w:r>
    </w:p>
    <w:p w14:paraId="2CBC19A6" w14:textId="23C872BE" w:rsidR="00FE39B5" w:rsidRPr="00E53977" w:rsidRDefault="00FE5AEA" w:rsidP="002771FB">
      <w:pPr>
        <w:widowControl w:val="0"/>
        <w:spacing w:line="240" w:lineRule="auto"/>
        <w:rPr>
          <w:rFonts w:cs="Times New Roman"/>
          <w:szCs w:val="24"/>
        </w:rPr>
      </w:pPr>
      <w:r w:rsidRPr="00E53977">
        <w:rPr>
          <w:rFonts w:cs="Times New Roman"/>
          <w:szCs w:val="24"/>
        </w:rPr>
        <w:t xml:space="preserve">As in 2016, the legal approximation process appears to be technically transparent and participatory. However, as highlighted in </w:t>
      </w:r>
      <w:r w:rsidR="00FE39B5" w:rsidRPr="00E53977">
        <w:rPr>
          <w:rFonts w:cs="Times New Roman"/>
          <w:szCs w:val="24"/>
        </w:rPr>
        <w:t>prior</w:t>
      </w:r>
      <w:r w:rsidRPr="00E53977">
        <w:rPr>
          <w:rFonts w:cs="Times New Roman"/>
          <w:szCs w:val="24"/>
        </w:rPr>
        <w:t xml:space="preserve"> assessment</w:t>
      </w:r>
      <w:r w:rsidR="00FE39B5" w:rsidRPr="00E53977">
        <w:rPr>
          <w:rFonts w:cs="Times New Roman"/>
          <w:szCs w:val="24"/>
        </w:rPr>
        <w:t>s</w:t>
      </w:r>
      <w:r w:rsidRPr="00E53977">
        <w:rPr>
          <w:rFonts w:cs="Times New Roman"/>
          <w:szCs w:val="24"/>
        </w:rPr>
        <w:t>, the interview and focus group respondents</w:t>
      </w:r>
      <w:r w:rsidR="00BB0D45" w:rsidRPr="00E53977">
        <w:rPr>
          <w:rFonts w:cs="Times New Roman"/>
          <w:szCs w:val="24"/>
        </w:rPr>
        <w:t>, including CSOs,</w:t>
      </w:r>
      <w:r w:rsidRPr="00E53977">
        <w:rPr>
          <w:rFonts w:cs="Times New Roman"/>
          <w:szCs w:val="24"/>
        </w:rPr>
        <w:t xml:space="preserve"> indicated they feel the GoG does not engage with them sufficiently and </w:t>
      </w:r>
      <w:r w:rsidR="00BC3D6E" w:rsidRPr="00E53977">
        <w:rPr>
          <w:rFonts w:cs="Times New Roman"/>
          <w:szCs w:val="24"/>
        </w:rPr>
        <w:t xml:space="preserve">want </w:t>
      </w:r>
      <w:r w:rsidRPr="00E53977">
        <w:rPr>
          <w:rFonts w:cs="Times New Roman"/>
          <w:szCs w:val="24"/>
        </w:rPr>
        <w:t>to participate earlier in the drafting process, want more information, and want more communication channels besides MEPA’s website, which did not improve in 2017.</w:t>
      </w:r>
      <w:r w:rsidR="00FE39B5" w:rsidRPr="00E53977">
        <w:rPr>
          <w:rFonts w:cs="Times New Roman"/>
          <w:szCs w:val="24"/>
        </w:rPr>
        <w:t xml:space="preserve"> </w:t>
      </w:r>
    </w:p>
    <w:p w14:paraId="576E4F85" w14:textId="3169EAF0" w:rsidR="00B9071F" w:rsidRPr="00E53977" w:rsidRDefault="00B9071F" w:rsidP="002771FB">
      <w:pPr>
        <w:widowControl w:val="0"/>
        <w:spacing w:line="240" w:lineRule="auto"/>
        <w:rPr>
          <w:rFonts w:cs="Times New Roman"/>
          <w:szCs w:val="24"/>
        </w:rPr>
      </w:pPr>
      <w:r w:rsidRPr="00E53977">
        <w:rPr>
          <w:rFonts w:cs="Times New Roman"/>
          <w:szCs w:val="24"/>
        </w:rPr>
        <w:t xml:space="preserve">As </w:t>
      </w:r>
      <w:r w:rsidR="001F12DC" w:rsidRPr="00E53977">
        <w:rPr>
          <w:rFonts w:cs="Times New Roman"/>
          <w:szCs w:val="24"/>
        </w:rPr>
        <w:t xml:space="preserve">also </w:t>
      </w:r>
      <w:r w:rsidRPr="00E53977">
        <w:rPr>
          <w:rFonts w:cs="Times New Roman"/>
          <w:szCs w:val="24"/>
        </w:rPr>
        <w:t>stated already in the 2016 EPF assessment</w:t>
      </w:r>
      <w:r w:rsidRPr="00E53977">
        <w:rPr>
          <w:rStyle w:val="FootnoteReference"/>
          <w:rFonts w:cs="Times New Roman"/>
          <w:szCs w:val="24"/>
        </w:rPr>
        <w:footnoteReference w:id="7"/>
      </w:r>
      <w:r w:rsidRPr="00E53977">
        <w:rPr>
          <w:rFonts w:cs="Times New Roman"/>
          <w:szCs w:val="24"/>
        </w:rPr>
        <w:t>,</w:t>
      </w:r>
      <w:r w:rsidR="00AB6B2F" w:rsidRPr="00E53977">
        <w:rPr>
          <w:rFonts w:cs="Times New Roman"/>
          <w:szCs w:val="24"/>
        </w:rPr>
        <w:t xml:space="preserve"> </w:t>
      </w:r>
      <w:r w:rsidRPr="00E53977">
        <w:rPr>
          <w:rFonts w:cs="Times New Roman"/>
          <w:szCs w:val="24"/>
        </w:rPr>
        <w:t xml:space="preserve">many approximated acts include transition periods. In 2017, some of these transition periods were up to 6 years </w:t>
      </w:r>
      <w:r w:rsidR="009F0504" w:rsidRPr="00E53977">
        <w:rPr>
          <w:rFonts w:cs="Times New Roman"/>
          <w:szCs w:val="24"/>
        </w:rPr>
        <w:t xml:space="preserve">prior to </w:t>
      </w:r>
      <w:r w:rsidRPr="00E53977">
        <w:rPr>
          <w:rFonts w:cs="Times New Roman"/>
          <w:szCs w:val="24"/>
        </w:rPr>
        <w:t xml:space="preserve">full enforcement, a significant increase from </w:t>
      </w:r>
      <w:r w:rsidR="009F0504" w:rsidRPr="00E53977">
        <w:rPr>
          <w:rFonts w:cs="Times New Roman"/>
          <w:szCs w:val="24"/>
        </w:rPr>
        <w:t>prior years</w:t>
      </w:r>
      <w:r w:rsidRPr="00E53977">
        <w:rPr>
          <w:rFonts w:cs="Times New Roman"/>
          <w:szCs w:val="24"/>
        </w:rPr>
        <w:t xml:space="preserve">. Although transition periods are required for certain acts to allow for proper implementation before penalties are applied, these transition periods are often understood as delays of implementation allowing </w:t>
      </w:r>
      <w:r w:rsidR="00BB317B" w:rsidRPr="00E53977">
        <w:rPr>
          <w:rFonts w:cs="Times New Roman"/>
          <w:szCs w:val="24"/>
        </w:rPr>
        <w:t xml:space="preserve">FBOs more time to continue </w:t>
      </w:r>
      <w:r w:rsidR="00241A34" w:rsidRPr="00E53977">
        <w:rPr>
          <w:rFonts w:cs="Times New Roman"/>
          <w:szCs w:val="24"/>
        </w:rPr>
        <w:t xml:space="preserve">without </w:t>
      </w:r>
      <w:r w:rsidR="00241A34" w:rsidRPr="00E53977">
        <w:rPr>
          <w:rFonts w:cs="Times New Roman"/>
          <w:szCs w:val="24"/>
        </w:rPr>
        <w:lastRenderedPageBreak/>
        <w:t>complying with food safety standards</w:t>
      </w:r>
      <w:r w:rsidRPr="00E53977">
        <w:rPr>
          <w:rFonts w:cs="Times New Roman"/>
          <w:szCs w:val="24"/>
        </w:rPr>
        <w:t xml:space="preserve"> before penalties will be applied. These long transition periods</w:t>
      </w:r>
      <w:r w:rsidR="00241A34" w:rsidRPr="00E53977">
        <w:rPr>
          <w:rFonts w:cs="Times New Roman"/>
          <w:szCs w:val="24"/>
        </w:rPr>
        <w:t xml:space="preserve"> often</w:t>
      </w:r>
      <w:r w:rsidRPr="00E53977">
        <w:rPr>
          <w:rFonts w:cs="Times New Roman"/>
          <w:szCs w:val="24"/>
        </w:rPr>
        <w:t xml:space="preserve"> instill doubt among the public </w:t>
      </w:r>
      <w:r w:rsidR="00EC25F7" w:rsidRPr="00E53977">
        <w:rPr>
          <w:rFonts w:cs="Times New Roman"/>
          <w:szCs w:val="24"/>
        </w:rPr>
        <w:t xml:space="preserve">in the efficacy of </w:t>
      </w:r>
      <w:r w:rsidRPr="00E53977">
        <w:rPr>
          <w:rFonts w:cs="Times New Roman"/>
          <w:szCs w:val="24"/>
        </w:rPr>
        <w:t xml:space="preserve">new legislation </w:t>
      </w:r>
      <w:r w:rsidR="00E37190" w:rsidRPr="00E53977">
        <w:rPr>
          <w:rFonts w:cs="Times New Roman"/>
          <w:szCs w:val="24"/>
        </w:rPr>
        <w:t xml:space="preserve">and </w:t>
      </w:r>
      <w:r w:rsidRPr="00E53977">
        <w:rPr>
          <w:rFonts w:cs="Times New Roman"/>
          <w:szCs w:val="24"/>
        </w:rPr>
        <w:t xml:space="preserve">decrease </w:t>
      </w:r>
      <w:r w:rsidR="00E37190" w:rsidRPr="00E53977">
        <w:rPr>
          <w:rFonts w:cs="Times New Roman"/>
          <w:szCs w:val="24"/>
        </w:rPr>
        <w:t xml:space="preserve">the public’s </w:t>
      </w:r>
      <w:r w:rsidRPr="00E53977">
        <w:rPr>
          <w:rFonts w:cs="Times New Roman"/>
          <w:szCs w:val="24"/>
        </w:rPr>
        <w:t xml:space="preserve">trust </w:t>
      </w:r>
      <w:r w:rsidR="00E37190" w:rsidRPr="00E53977">
        <w:rPr>
          <w:rFonts w:cs="Times New Roman"/>
          <w:szCs w:val="24"/>
        </w:rPr>
        <w:t xml:space="preserve">in the </w:t>
      </w:r>
      <w:r w:rsidRPr="00E53977">
        <w:rPr>
          <w:rFonts w:cs="Times New Roman"/>
          <w:szCs w:val="24"/>
        </w:rPr>
        <w:t xml:space="preserve">GoG </w:t>
      </w:r>
      <w:r w:rsidR="00E37190" w:rsidRPr="00E53977">
        <w:rPr>
          <w:rFonts w:cs="Times New Roman"/>
          <w:szCs w:val="24"/>
        </w:rPr>
        <w:t xml:space="preserve">to protect </w:t>
      </w:r>
      <w:r w:rsidRPr="00E53977">
        <w:rPr>
          <w:rFonts w:cs="Times New Roman"/>
          <w:szCs w:val="24"/>
        </w:rPr>
        <w:t>food safety and consumer health.</w:t>
      </w:r>
    </w:p>
    <w:p w14:paraId="3DED989A" w14:textId="649257F7" w:rsidR="00B9071F" w:rsidRPr="00E53977" w:rsidRDefault="00B9071F" w:rsidP="002771FB">
      <w:pPr>
        <w:widowControl w:val="0"/>
        <w:spacing w:line="240" w:lineRule="auto"/>
        <w:rPr>
          <w:sz w:val="16"/>
          <w:szCs w:val="16"/>
        </w:rPr>
      </w:pPr>
      <w:bookmarkStart w:id="22" w:name="_Hlk480804125"/>
      <w:bookmarkStart w:id="23" w:name="_Hlk480804327"/>
      <w:bookmarkEnd w:id="21"/>
      <w:r w:rsidRPr="00E53977">
        <w:t xml:space="preserve">To avoid misunderstandings among all stakeholders concerning the necessary transition periods of implementation of the new legislation, </w:t>
      </w:r>
      <w:r w:rsidR="009F0504" w:rsidRPr="00E53977">
        <w:t xml:space="preserve">as </w:t>
      </w:r>
      <w:r w:rsidR="00815218" w:rsidRPr="00E53977">
        <w:t xml:space="preserve">highlighted </w:t>
      </w:r>
      <w:r w:rsidR="009F0504" w:rsidRPr="00E53977">
        <w:t xml:space="preserve">in </w:t>
      </w:r>
      <w:r w:rsidR="00815218" w:rsidRPr="00E53977">
        <w:t>the prior reports</w:t>
      </w:r>
      <w:r w:rsidR="009F0504" w:rsidRPr="00E53977">
        <w:t xml:space="preserve">, </w:t>
      </w:r>
      <w:r w:rsidRPr="00E53977">
        <w:t xml:space="preserve">several respondents proposed a solution for </w:t>
      </w:r>
      <w:r w:rsidR="00815218" w:rsidRPr="00E53977">
        <w:t xml:space="preserve">MEPA’s </w:t>
      </w:r>
      <w:r w:rsidRPr="00E53977">
        <w:t>drafting</w:t>
      </w:r>
      <w:r w:rsidR="00815218" w:rsidRPr="00E53977">
        <w:t xml:space="preserve"> process</w:t>
      </w:r>
      <w:r w:rsidRPr="00E53977">
        <w:t xml:space="preserve">, in which </w:t>
      </w:r>
      <w:r w:rsidR="00815218" w:rsidRPr="00E53977">
        <w:t>MEPA c</w:t>
      </w:r>
      <w:r w:rsidRPr="00E53977">
        <w:t xml:space="preserve">ould post </w:t>
      </w:r>
      <w:r w:rsidR="00815218" w:rsidRPr="00E53977">
        <w:t xml:space="preserve">3 </w:t>
      </w:r>
      <w:r w:rsidRPr="00E53977">
        <w:t xml:space="preserve">documents </w:t>
      </w:r>
      <w:r w:rsidR="00815218" w:rsidRPr="00E53977">
        <w:t>online for public review and input</w:t>
      </w:r>
      <w:r w:rsidRPr="00E53977">
        <w:t xml:space="preserve">. These documents </w:t>
      </w:r>
      <w:r w:rsidR="00815218" w:rsidRPr="00E53977">
        <w:t>w</w:t>
      </w:r>
      <w:r w:rsidRPr="00E53977">
        <w:t xml:space="preserve">ould </w:t>
      </w:r>
      <w:r w:rsidR="00815218" w:rsidRPr="00E53977">
        <w:t xml:space="preserve">include </w:t>
      </w:r>
      <w:r w:rsidRPr="00E53977">
        <w:t>the draft Georgian legislation, the respective EU legislation to be approximated in English</w:t>
      </w:r>
      <w:r w:rsidR="00815218" w:rsidRPr="00E53977">
        <w:t>,</w:t>
      </w:r>
      <w:r w:rsidRPr="00E53977">
        <w:t xml:space="preserve"> and </w:t>
      </w:r>
      <w:r w:rsidR="00815218" w:rsidRPr="00E53977">
        <w:t xml:space="preserve">the </w:t>
      </w:r>
      <w:r w:rsidRPr="00E53977">
        <w:t>Georgian translation</w:t>
      </w:r>
      <w:r w:rsidR="00B3584E" w:rsidRPr="00E53977">
        <w:t xml:space="preserve"> of the EU legislation</w:t>
      </w:r>
      <w:r w:rsidRPr="00E53977">
        <w:t>.</w:t>
      </w:r>
      <w:r w:rsidRPr="00E53977">
        <w:rPr>
          <w:rStyle w:val="CommentReference"/>
        </w:rPr>
        <w:t xml:space="preserve"> </w:t>
      </w:r>
      <w:r w:rsidRPr="00E53977">
        <w:t xml:space="preserve">Respondents also preferred to be involved in the preparation of the draft legislation prior to online submission for comments for the final draft. The correction of several normative acts after they have been adopted by a Governmental Decree </w:t>
      </w:r>
      <w:r w:rsidR="00B3584E" w:rsidRPr="00E53977">
        <w:t xml:space="preserve">have </w:t>
      </w:r>
      <w:r w:rsidRPr="00E53977">
        <w:t>require</w:t>
      </w:r>
      <w:r w:rsidR="00B3584E" w:rsidRPr="00E53977">
        <w:t>d</w:t>
      </w:r>
      <w:r w:rsidRPr="00E53977">
        <w:t xml:space="preserve"> additional efforts from the private sector and CSOs to explain and lobby the GoG </w:t>
      </w:r>
      <w:r w:rsidR="00B3584E" w:rsidRPr="00E53977">
        <w:t>to make</w:t>
      </w:r>
      <w:r w:rsidRPr="00E53977">
        <w:t xml:space="preserve"> the </w:t>
      </w:r>
      <w:r w:rsidR="00B3584E" w:rsidRPr="00E53977">
        <w:t xml:space="preserve">necessary </w:t>
      </w:r>
      <w:r w:rsidRPr="00E53977">
        <w:t>corrections for efficient implementation and enforcement.</w:t>
      </w:r>
    </w:p>
    <w:bookmarkEnd w:id="22"/>
    <w:bookmarkEnd w:id="23"/>
    <w:p w14:paraId="3E275650" w14:textId="67A967B9" w:rsidR="00B9071F" w:rsidRPr="00E53977" w:rsidRDefault="00251415" w:rsidP="002771FB">
      <w:pPr>
        <w:pStyle w:val="Heading3"/>
      </w:pPr>
      <w:r w:rsidRPr="00E53977">
        <w:t xml:space="preserve">Enforcement </w:t>
      </w:r>
      <w:r w:rsidR="00B9071F" w:rsidRPr="00E53977">
        <w:t xml:space="preserve">Implications </w:t>
      </w:r>
    </w:p>
    <w:p w14:paraId="06270313" w14:textId="433D26F9" w:rsidR="00B9071F" w:rsidRPr="00E53977" w:rsidRDefault="00B9071F" w:rsidP="002771FB">
      <w:pPr>
        <w:widowControl w:val="0"/>
        <w:spacing w:line="240" w:lineRule="auto"/>
      </w:pPr>
      <w:r w:rsidRPr="00E53977">
        <w:t>Most of the approximated legal acts on food safety are adopted via Governmental Decrees, rather than through legislative adoption in the Parliament, which does not require Regulatory Impact Assessments (RIAs) by the Ministry of Economy and Sustainable Development for the relevant GoG ministry or agency to implement.</w:t>
      </w:r>
    </w:p>
    <w:p w14:paraId="1C0CF97F" w14:textId="2A82057D" w:rsidR="00F932B0" w:rsidRPr="00E53977" w:rsidRDefault="00F932B0" w:rsidP="002771FB">
      <w:pPr>
        <w:widowControl w:val="0"/>
        <w:spacing w:line="240" w:lineRule="auto"/>
        <w:rPr>
          <w:szCs w:val="24"/>
        </w:rPr>
      </w:pPr>
      <w:r w:rsidRPr="00E53977">
        <w:rPr>
          <w:rFonts w:cs="Times New Roman"/>
        </w:rPr>
        <w:t xml:space="preserve">The enforcement of several new Georgian Governmental Decrees commenced in 2017. </w:t>
      </w:r>
      <w:r w:rsidR="00841AFC" w:rsidRPr="00E53977">
        <w:rPr>
          <w:rFonts w:cs="Times New Roman"/>
        </w:rPr>
        <w:t>Based on</w:t>
      </w:r>
      <w:r w:rsidRPr="00E53977">
        <w:rPr>
          <w:rFonts w:cs="Times New Roman"/>
        </w:rPr>
        <w:t xml:space="preserve"> Governmental Decrees No</w:t>
      </w:r>
      <w:r w:rsidR="00841AFC" w:rsidRPr="00E53977">
        <w:rPr>
          <w:rFonts w:cs="Times New Roman"/>
        </w:rPr>
        <w:t>.</w:t>
      </w:r>
      <w:r w:rsidRPr="00E53977">
        <w:rPr>
          <w:rFonts w:cs="Times New Roman"/>
        </w:rPr>
        <w:t xml:space="preserve"> 152 on </w:t>
      </w:r>
      <w:r w:rsidR="00841AFC" w:rsidRPr="00E53977">
        <w:rPr>
          <w:rFonts w:cs="Times New Roman"/>
        </w:rPr>
        <w:t>“</w:t>
      </w:r>
      <w:r w:rsidRPr="00E53977">
        <w:rPr>
          <w:rFonts w:cs="Times New Roman"/>
          <w:szCs w:val="24"/>
        </w:rPr>
        <w:t>Technical Regulations for Milk and Milk Products</w:t>
      </w:r>
      <w:r w:rsidR="00841AFC" w:rsidRPr="00E53977">
        <w:rPr>
          <w:rFonts w:cs="Times New Roman"/>
          <w:szCs w:val="24"/>
        </w:rPr>
        <w:t>:</w:t>
      </w:r>
      <w:r w:rsidRPr="00E53977">
        <w:rPr>
          <w:rFonts w:cs="Times New Roman"/>
          <w:szCs w:val="24"/>
        </w:rPr>
        <w:t xml:space="preserve"> and No</w:t>
      </w:r>
      <w:r w:rsidR="00841AFC" w:rsidRPr="00E53977">
        <w:rPr>
          <w:rFonts w:cs="Times New Roman"/>
          <w:szCs w:val="24"/>
        </w:rPr>
        <w:t>.</w:t>
      </w:r>
      <w:r w:rsidRPr="00E53977">
        <w:rPr>
          <w:rFonts w:cs="Times New Roman"/>
          <w:szCs w:val="24"/>
        </w:rPr>
        <w:t xml:space="preserve"> 195 </w:t>
      </w:r>
      <w:r w:rsidRPr="00E53977">
        <w:rPr>
          <w:rFonts w:cs="Times New Roman"/>
        </w:rPr>
        <w:t xml:space="preserve">on </w:t>
      </w:r>
      <w:r w:rsidR="00841AFC" w:rsidRPr="00E53977">
        <w:rPr>
          <w:rFonts w:cs="Times New Roman"/>
        </w:rPr>
        <w:t>“</w:t>
      </w:r>
      <w:r w:rsidRPr="00E53977">
        <w:rPr>
          <w:rFonts w:cs="Times New Roman"/>
        </w:rPr>
        <w:t>Methods of Analysis and Examination of Heat-Treated Milk</w:t>
      </w:r>
      <w:r w:rsidR="00841AFC" w:rsidRPr="00E53977">
        <w:rPr>
          <w:rFonts w:cs="Times New Roman"/>
        </w:rPr>
        <w:t>”</w:t>
      </w:r>
      <w:r w:rsidRPr="00E53977">
        <w:rPr>
          <w:rFonts w:cs="Times New Roman"/>
          <w:szCs w:val="24"/>
        </w:rPr>
        <w:t>,</w:t>
      </w:r>
      <w:r w:rsidRPr="00E53977">
        <w:rPr>
          <w:szCs w:val="24"/>
        </w:rPr>
        <w:t xml:space="preserve"> </w:t>
      </w:r>
      <w:r w:rsidR="00841AFC" w:rsidRPr="00E53977">
        <w:rPr>
          <w:szCs w:val="24"/>
        </w:rPr>
        <w:t xml:space="preserve">the NFA took </w:t>
      </w:r>
      <w:r w:rsidRPr="00E53977">
        <w:rPr>
          <w:szCs w:val="24"/>
        </w:rPr>
        <w:t xml:space="preserve">samples </w:t>
      </w:r>
      <w:r w:rsidR="00841AFC" w:rsidRPr="00E53977">
        <w:rPr>
          <w:szCs w:val="24"/>
        </w:rPr>
        <w:t xml:space="preserve">from </w:t>
      </w:r>
      <w:r w:rsidRPr="00E53977">
        <w:rPr>
          <w:szCs w:val="24"/>
        </w:rPr>
        <w:t xml:space="preserve">21 different </w:t>
      </w:r>
      <w:r w:rsidR="00841AFC" w:rsidRPr="00E53977">
        <w:rPr>
          <w:szCs w:val="24"/>
        </w:rPr>
        <w:t xml:space="preserve">dairy </w:t>
      </w:r>
      <w:r w:rsidRPr="00E53977">
        <w:rPr>
          <w:szCs w:val="24"/>
        </w:rPr>
        <w:t xml:space="preserve">manufacturers, </w:t>
      </w:r>
      <w:r w:rsidR="00841AFC" w:rsidRPr="00E53977">
        <w:rPr>
          <w:szCs w:val="24"/>
        </w:rPr>
        <w:t xml:space="preserve">resulting in the identification of </w:t>
      </w:r>
      <w:r w:rsidRPr="00E53977">
        <w:rPr>
          <w:szCs w:val="24"/>
        </w:rPr>
        <w:t xml:space="preserve">milk powder </w:t>
      </w:r>
      <w:r w:rsidR="00841AFC" w:rsidRPr="00E53977">
        <w:rPr>
          <w:szCs w:val="24"/>
        </w:rPr>
        <w:t>present</w:t>
      </w:r>
      <w:r w:rsidRPr="00E53977">
        <w:rPr>
          <w:szCs w:val="24"/>
        </w:rPr>
        <w:t xml:space="preserve"> in 10 (48%) of the cheese samples without proper labelling. </w:t>
      </w:r>
      <w:r w:rsidR="00EE166F" w:rsidRPr="00E53977">
        <w:rPr>
          <w:szCs w:val="24"/>
        </w:rPr>
        <w:t xml:space="preserve">Additionally, </w:t>
      </w:r>
      <w:r w:rsidR="007A674B" w:rsidRPr="00E53977">
        <w:rPr>
          <w:szCs w:val="24"/>
        </w:rPr>
        <w:t xml:space="preserve">another study </w:t>
      </w:r>
      <w:r w:rsidR="00EE166F" w:rsidRPr="00E53977">
        <w:rPr>
          <w:szCs w:val="24"/>
        </w:rPr>
        <w:t xml:space="preserve">based on Governmental Decree No 262 on “Determination of Trans-Fat Standard in Food”, the </w:t>
      </w:r>
      <w:r w:rsidRPr="00E53977">
        <w:rPr>
          <w:szCs w:val="24"/>
        </w:rPr>
        <w:t xml:space="preserve">NFA </w:t>
      </w:r>
      <w:r w:rsidR="00EE166F" w:rsidRPr="00E53977">
        <w:rPr>
          <w:szCs w:val="24"/>
        </w:rPr>
        <w:t>identified violations related to</w:t>
      </w:r>
      <w:r w:rsidRPr="00E53977">
        <w:rPr>
          <w:szCs w:val="24"/>
        </w:rPr>
        <w:t xml:space="preserve"> industrial trans-fat</w:t>
      </w:r>
      <w:r w:rsidR="00EE166F" w:rsidRPr="00E53977">
        <w:rPr>
          <w:szCs w:val="24"/>
        </w:rPr>
        <w:t>s</w:t>
      </w:r>
      <w:r w:rsidRPr="00E53977">
        <w:rPr>
          <w:szCs w:val="24"/>
        </w:rPr>
        <w:t xml:space="preserve"> in 13 samples (9%</w:t>
      </w:r>
      <w:r w:rsidR="007A674B" w:rsidRPr="00E53977">
        <w:rPr>
          <w:szCs w:val="24"/>
        </w:rPr>
        <w:t xml:space="preserve"> of total samples taken</w:t>
      </w:r>
      <w:r w:rsidRPr="00E53977">
        <w:rPr>
          <w:szCs w:val="24"/>
        </w:rPr>
        <w:t>)</w:t>
      </w:r>
      <w:r w:rsidR="007A674B" w:rsidRPr="00E53977">
        <w:rPr>
          <w:szCs w:val="24"/>
        </w:rPr>
        <w:t xml:space="preserve">, resulting in all non-compliant </w:t>
      </w:r>
      <w:r w:rsidRPr="00E53977">
        <w:rPr>
          <w:szCs w:val="24"/>
        </w:rPr>
        <w:t xml:space="preserve">FBOs </w:t>
      </w:r>
      <w:r w:rsidR="007A674B" w:rsidRPr="00E53977">
        <w:rPr>
          <w:szCs w:val="24"/>
        </w:rPr>
        <w:t xml:space="preserve">being </w:t>
      </w:r>
      <w:r w:rsidRPr="00E53977">
        <w:rPr>
          <w:szCs w:val="24"/>
        </w:rPr>
        <w:t>penalized.</w:t>
      </w:r>
    </w:p>
    <w:p w14:paraId="3A19291A" w14:textId="6DAE70AB" w:rsidR="003E5CBB" w:rsidRPr="00E53977" w:rsidRDefault="003E5CBB" w:rsidP="002771FB">
      <w:pPr>
        <w:widowControl w:val="0"/>
        <w:spacing w:line="240" w:lineRule="auto"/>
      </w:pPr>
      <w:r w:rsidRPr="00E53977">
        <w:t>In June 2017, the NFA organized a workshop for the MoA/NFA Veterinary Working Group (VWG) in Kachreti, Kakheti on “</w:t>
      </w:r>
      <w:r w:rsidRPr="00E53977">
        <w:rPr>
          <w:rStyle w:val="Strong"/>
          <w:b w:val="0"/>
          <w:bdr w:val="none" w:sz="0" w:space="0" w:color="auto" w:frame="1"/>
          <w:shd w:val="clear" w:color="auto" w:fill="FFFFFF"/>
        </w:rPr>
        <w:t xml:space="preserve">Animal </w:t>
      </w:r>
      <w:r w:rsidR="0007675B" w:rsidRPr="00E53977">
        <w:rPr>
          <w:rStyle w:val="Strong"/>
          <w:b w:val="0"/>
          <w:bdr w:val="none" w:sz="0" w:space="0" w:color="auto" w:frame="1"/>
          <w:shd w:val="clear" w:color="auto" w:fill="FFFFFF"/>
        </w:rPr>
        <w:t>B</w:t>
      </w:r>
      <w:r w:rsidRPr="00E53977">
        <w:rPr>
          <w:rStyle w:val="Strong"/>
          <w:b w:val="0"/>
          <w:bdr w:val="none" w:sz="0" w:space="0" w:color="auto" w:frame="1"/>
          <w:shd w:val="clear" w:color="auto" w:fill="FFFFFF"/>
        </w:rPr>
        <w:t>y-</w:t>
      </w:r>
      <w:r w:rsidR="0007675B" w:rsidRPr="00E53977">
        <w:rPr>
          <w:rStyle w:val="Strong"/>
          <w:b w:val="0"/>
          <w:bdr w:val="none" w:sz="0" w:space="0" w:color="auto" w:frame="1"/>
          <w:shd w:val="clear" w:color="auto" w:fill="FFFFFF"/>
        </w:rPr>
        <w:t>P</w:t>
      </w:r>
      <w:r w:rsidRPr="00E53977">
        <w:rPr>
          <w:rStyle w:val="Strong"/>
          <w:b w:val="0"/>
          <w:bdr w:val="none" w:sz="0" w:space="0" w:color="auto" w:frame="1"/>
          <w:shd w:val="clear" w:color="auto" w:fill="FFFFFF"/>
        </w:rPr>
        <w:t>roducts and Derived Products not Intended for Human Consumption”</w:t>
      </w:r>
      <w:r w:rsidRPr="00E53977">
        <w:t xml:space="preserve"> regarding EU </w:t>
      </w:r>
      <w:r w:rsidRPr="00E53977">
        <w:rPr>
          <w:rStyle w:val="Strong"/>
          <w:b w:val="0"/>
          <w:bdr w:val="none" w:sz="0" w:space="0" w:color="auto" w:frame="1"/>
          <w:shd w:val="clear" w:color="auto" w:fill="FFFFFF"/>
        </w:rPr>
        <w:t>Regulation 1069/2009</w:t>
      </w:r>
      <w:r w:rsidRPr="00E53977">
        <w:t>. This workshop was a follow-up to the NFA-supported study tour to Estonia in May 2017 and was led by NFA and food safety experts. In the workshop, the stakeholders finalized a draft agreement on terminology and waste/animal by-product management procedures; however, implementation is on hold until the MEPA makes the final decision after the merger of the two ministries is complete.</w:t>
      </w:r>
    </w:p>
    <w:p w14:paraId="2086EBC6" w14:textId="730FDFE5" w:rsidR="008277D1" w:rsidRPr="00E53977" w:rsidRDefault="008277D1" w:rsidP="002771FB">
      <w:pPr>
        <w:widowControl w:val="0"/>
        <w:spacing w:line="240" w:lineRule="auto"/>
      </w:pPr>
      <w:r w:rsidRPr="00E53977">
        <w:t xml:space="preserve">The MoA/NFA phytosanitary working group is responsible for legislation drafting and other legal initiatives. In 2017, 3 phytosanitary normative acts were approximated, making a total of 8, and maintaining the planned phytosanitary schedule according to the DCFTA/AA approximation plan. However, full enforcement of these 3 Governmental Decrees will take place only in 2018 and 2020 respectively (as can be seen in Annex 1). The previously adopted Governmental Decrees have empowered the pre-import certificates to be issued by both NFA Phytosanitary and RS </w:t>
      </w:r>
      <w:r w:rsidRPr="00E53977">
        <w:rPr>
          <w:rFonts w:cs="Times New Roman"/>
          <w:szCs w:val="24"/>
        </w:rPr>
        <w:t>Customs Department</w:t>
      </w:r>
      <w:r w:rsidRPr="00E53977">
        <w:t>, both having equal power, which has simplified procedures for Georgian importers.</w:t>
      </w:r>
    </w:p>
    <w:p w14:paraId="21AD925F" w14:textId="77777777" w:rsidR="00B9071F" w:rsidRPr="00E53977" w:rsidRDefault="00B9071F" w:rsidP="002771FB">
      <w:pPr>
        <w:widowControl w:val="0"/>
        <w:spacing w:line="240" w:lineRule="auto"/>
      </w:pPr>
      <w:r w:rsidRPr="00E53977">
        <w:t>Based on interviews with the GoG stakeholders, the cost of compliance (for both the GoG and the private sector to comply with newly adopted acts) has not been adequately estimated. This results in the GoG not being adequately invested with the appropriate staffing, resources, and budget allocations to successfully implement the new mandate. Similarly, in the private sector, actors cannot adequately plan their expenditures in fixed assets and operations required to satisfy the compliance requirements.</w:t>
      </w:r>
    </w:p>
    <w:p w14:paraId="1AD50F45" w14:textId="6E4E1CFD" w:rsidR="00B9071F" w:rsidRPr="00E53977" w:rsidRDefault="00B9071F" w:rsidP="002771FB">
      <w:pPr>
        <w:widowControl w:val="0"/>
        <w:spacing w:line="240" w:lineRule="auto"/>
      </w:pPr>
      <w:r w:rsidRPr="00E53977">
        <w:lastRenderedPageBreak/>
        <w:t>Several respondents across various departments in the NFA highlighted the need for additional resources (i.e., increased human resources, technical trainings, equipment, laboratory capacity, and financial resources) for the new mandates, which have not yet been funded. An example of the projected cost of compliance not budgeted yet is illustrated in the NFA’s Veterinary Department’s estimated additional set-up and operating costs related to compliance with existing new laws</w:t>
      </w:r>
      <w:r w:rsidR="00D035C3" w:rsidRPr="00E53977">
        <w:t xml:space="preserve">, which is </w:t>
      </w:r>
      <w:r w:rsidR="00A53C34" w:rsidRPr="00E53977">
        <w:t xml:space="preserve">GEL 44.73 million for the </w:t>
      </w:r>
      <w:r w:rsidR="00E01338" w:rsidRPr="00E53977">
        <w:t>initial</w:t>
      </w:r>
      <w:r w:rsidR="00A53C34" w:rsidRPr="00E53977">
        <w:t xml:space="preserve"> budget and GEL 20.73 million annually thereafter.</w:t>
      </w:r>
      <w:r w:rsidR="00A53C34" w:rsidRPr="00E53977">
        <w:rPr>
          <w:rStyle w:val="FootnoteReference"/>
        </w:rPr>
        <w:footnoteReference w:id="8"/>
      </w:r>
      <w:r w:rsidR="00A53C34" w:rsidRPr="00E53977">
        <w:t xml:space="preserve"> </w:t>
      </w:r>
    </w:p>
    <w:p w14:paraId="20CFDC09" w14:textId="77777777" w:rsidR="00B9071F" w:rsidRPr="00E53977" w:rsidRDefault="00B9071F" w:rsidP="002771FB">
      <w:pPr>
        <w:widowControl w:val="0"/>
        <w:spacing w:line="240" w:lineRule="auto"/>
      </w:pPr>
      <w:r w:rsidRPr="00E53977">
        <w:t>Based on these findings, the GoG should consider conducting RIAs to estimate the cost of compliance for all the ministries and agencies involved in the food safety system to ensure that they are appropriately empowered with the resources to comply with the new mandates. Even without RIA, more than 10 GoG ministries and agencies and dozens of internal departments involved in the food safety system see the need to increase their resource allocations just to comply with the legal acts that have already been approximated, much more for to be prepared for 2020 when derogation for small operators (200 000 GEL) will be ended and for all the upcoming legal acts that will be approximated in the next 10 years when the approximation process is expected to conclude in 2027.</w:t>
      </w:r>
    </w:p>
    <w:p w14:paraId="6139179D" w14:textId="051EF7AD" w:rsidR="00B9071F" w:rsidRPr="00E53977" w:rsidRDefault="00B9071F" w:rsidP="002771FB">
      <w:pPr>
        <w:widowControl w:val="0"/>
        <w:spacing w:line="240" w:lineRule="auto"/>
        <w:rPr>
          <w:highlight w:val="green"/>
        </w:rPr>
      </w:pPr>
      <w:r w:rsidRPr="00E53977">
        <w:t xml:space="preserve">As mentioned in the 2016 EPF assessment, fines and suspension of activities are applied for non-compliance for all registered FBOs. However, not all have HACCP systems in place, but the number of dairy processors and slaughterhouses implementing HACCP has increased as can be seen </w:t>
      </w:r>
      <w:r w:rsidR="00E01338" w:rsidRPr="00E53977">
        <w:t xml:space="preserve">by </w:t>
      </w:r>
      <w:r w:rsidRPr="00E53977">
        <w:t xml:space="preserve">the number of dairy and meat FBOs approved by the NFA, which requires implementation of HACCP. Unfortunately, there is little data available comparing the total number of all FBOs to those FBOs that have implemented HACCP. Many FBOs have been allotted additional time by the NFA or transition period in the legislation to finalize the HACCP process as it requires a substantial investment of time. </w:t>
      </w:r>
    </w:p>
    <w:p w14:paraId="664BD3C6" w14:textId="3CFE25FA" w:rsidR="00B9071F" w:rsidRPr="00E53977" w:rsidRDefault="00262731" w:rsidP="002771FB">
      <w:pPr>
        <w:widowControl w:val="0"/>
        <w:spacing w:line="240" w:lineRule="auto"/>
        <w:rPr>
          <w:rFonts w:cs="Times New Roman"/>
          <w:szCs w:val="24"/>
        </w:rPr>
      </w:pPr>
      <w:r w:rsidRPr="00E53977">
        <w:rPr>
          <w:rFonts w:cs="Times New Roman"/>
          <w:szCs w:val="24"/>
        </w:rPr>
        <w:t>As indicated in prior reports, i</w:t>
      </w:r>
      <w:r w:rsidR="00B9071F" w:rsidRPr="00E53977">
        <w:rPr>
          <w:rFonts w:cs="Times New Roman"/>
          <w:szCs w:val="24"/>
        </w:rPr>
        <w:t xml:space="preserve">n 2016, </w:t>
      </w:r>
      <w:r w:rsidR="00B9071F" w:rsidRPr="00E53977">
        <w:rPr>
          <w:rFonts w:cs="Times New Roman"/>
        </w:rPr>
        <w:t xml:space="preserve">the </w:t>
      </w:r>
      <w:r w:rsidRPr="00E53977">
        <w:t>GAC</w:t>
      </w:r>
      <w:r w:rsidR="00B9071F" w:rsidRPr="00E53977">
        <w:t xml:space="preserve"> </w:t>
      </w:r>
      <w:r w:rsidR="00B9071F" w:rsidRPr="00E53977">
        <w:rPr>
          <w:rFonts w:cs="Times New Roman"/>
          <w:szCs w:val="24"/>
        </w:rPr>
        <w:t xml:space="preserve">established a mandatory requirement for all accredited laboratories to (either conduct proficiency testing or inter-laboratory comparisons and (2) that these processes must produce “positive results” to maintain compliance with testing standards and processes. </w:t>
      </w:r>
      <w:r w:rsidRPr="00E53977">
        <w:rPr>
          <w:rFonts w:cs="Times New Roman"/>
          <w:szCs w:val="24"/>
        </w:rPr>
        <w:t xml:space="preserve">As </w:t>
      </w:r>
      <w:r w:rsidR="00B9071F" w:rsidRPr="00E53977">
        <w:rPr>
          <w:rFonts w:cs="Times New Roman"/>
          <w:szCs w:val="24"/>
        </w:rPr>
        <w:t>a result, private laboratories have participate</w:t>
      </w:r>
      <w:r w:rsidR="002861FD" w:rsidRPr="00E53977">
        <w:rPr>
          <w:rFonts w:cs="Times New Roman"/>
          <w:szCs w:val="24"/>
        </w:rPr>
        <w:t>d</w:t>
      </w:r>
      <w:r w:rsidR="00B9071F" w:rsidRPr="00E53977">
        <w:rPr>
          <w:rFonts w:cs="Times New Roman"/>
          <w:szCs w:val="24"/>
        </w:rPr>
        <w:t xml:space="preserve"> in proficiency testing. This has enabled the public and private sector actors to choose more reliable laboratories for the analysis. Additionally</w:t>
      </w:r>
      <w:r w:rsidR="00B9071F" w:rsidRPr="00E53977">
        <w:rPr>
          <w:rFonts w:cs="Times New Roman"/>
        </w:rPr>
        <w:t xml:space="preserve">, the GAC </w:t>
      </w:r>
      <w:r w:rsidR="00B9071F" w:rsidRPr="00E53977">
        <w:t xml:space="preserve">became in 2017 an associated member of </w:t>
      </w:r>
      <w:r w:rsidRPr="00E53977">
        <w:t>EA</w:t>
      </w:r>
      <w:r w:rsidR="00B9071F" w:rsidRPr="00E53977">
        <w:t>, which is a significant step for laboratory reforms. However, the EA still has not granted GAC mutual recognition of accreditation of laboratories and other certifying bodies.</w:t>
      </w:r>
    </w:p>
    <w:p w14:paraId="060848CC" w14:textId="2528D1DC" w:rsidR="00B9071F" w:rsidRPr="00E53977" w:rsidRDefault="00B9071F" w:rsidP="002771FB">
      <w:pPr>
        <w:widowControl w:val="0"/>
        <w:spacing w:line="240" w:lineRule="auto"/>
        <w:rPr>
          <w:rFonts w:cs="Times New Roman"/>
          <w:szCs w:val="24"/>
        </w:rPr>
      </w:pPr>
      <w:r w:rsidRPr="00E53977">
        <w:rPr>
          <w:rFonts w:cs="Times New Roman"/>
          <w:szCs w:val="24"/>
        </w:rPr>
        <w:t>There</w:t>
      </w:r>
      <w:r w:rsidR="00231C18" w:rsidRPr="00E53977">
        <w:rPr>
          <w:rFonts w:cs="Times New Roman"/>
          <w:szCs w:val="24"/>
        </w:rPr>
        <w:t xml:space="preserve"> continue to be difficult </w:t>
      </w:r>
      <w:r w:rsidRPr="00E53977">
        <w:rPr>
          <w:rFonts w:cs="Times New Roman"/>
          <w:szCs w:val="24"/>
        </w:rPr>
        <w:t xml:space="preserve">situations where results from different laboratories </w:t>
      </w:r>
      <w:r w:rsidR="00B03321" w:rsidRPr="00E53977">
        <w:rPr>
          <w:rFonts w:cs="Times New Roman"/>
          <w:szCs w:val="24"/>
        </w:rPr>
        <w:t>dis</w:t>
      </w:r>
      <w:r w:rsidRPr="00E53977">
        <w:rPr>
          <w:rFonts w:cs="Times New Roman"/>
          <w:szCs w:val="24"/>
        </w:rPr>
        <w:t xml:space="preserve">agree, even when contracted by two different GoG entities (i.e., RS and NFA). However, there </w:t>
      </w:r>
      <w:r w:rsidR="00231C18" w:rsidRPr="00E53977">
        <w:rPr>
          <w:rFonts w:cs="Times New Roman"/>
          <w:szCs w:val="24"/>
        </w:rPr>
        <w:t xml:space="preserve">were no </w:t>
      </w:r>
      <w:r w:rsidRPr="00E53977">
        <w:rPr>
          <w:rFonts w:cs="Times New Roman"/>
          <w:szCs w:val="24"/>
        </w:rPr>
        <w:t>food safety reference laboratories</w:t>
      </w:r>
      <w:r w:rsidR="00231C18" w:rsidRPr="00E53977">
        <w:rPr>
          <w:rFonts w:cs="Times New Roman"/>
          <w:szCs w:val="24"/>
        </w:rPr>
        <w:t xml:space="preserve"> established in 2017</w:t>
      </w:r>
      <w:r w:rsidRPr="00E53977">
        <w:rPr>
          <w:rFonts w:cs="Times New Roman"/>
          <w:szCs w:val="24"/>
        </w:rPr>
        <w:t xml:space="preserve"> </w:t>
      </w:r>
      <w:r w:rsidR="00231C18" w:rsidRPr="00E53977">
        <w:rPr>
          <w:rFonts w:cs="Times New Roman"/>
          <w:szCs w:val="24"/>
        </w:rPr>
        <w:t>to be</w:t>
      </w:r>
      <w:r w:rsidRPr="00E53977">
        <w:rPr>
          <w:rFonts w:cs="Times New Roman"/>
          <w:szCs w:val="24"/>
        </w:rPr>
        <w:t xml:space="preserve"> an authority on </w:t>
      </w:r>
      <w:r w:rsidR="00C80395" w:rsidRPr="00E53977">
        <w:rPr>
          <w:rFonts w:cs="Times New Roman"/>
          <w:szCs w:val="24"/>
        </w:rPr>
        <w:t>judging</w:t>
      </w:r>
      <w:r w:rsidRPr="00E53977">
        <w:rPr>
          <w:rFonts w:cs="Times New Roman"/>
          <w:szCs w:val="24"/>
        </w:rPr>
        <w:t xml:space="preserve"> results for specific methodologies and scopes.</w:t>
      </w:r>
      <w:r w:rsidR="00AB6B2F" w:rsidRPr="00E53977">
        <w:rPr>
          <w:rFonts w:cs="Times New Roman"/>
          <w:szCs w:val="24"/>
        </w:rPr>
        <w:t xml:space="preserve"> </w:t>
      </w:r>
      <w:r w:rsidRPr="00E53977">
        <w:rPr>
          <w:rFonts w:cs="Times New Roman"/>
          <w:szCs w:val="24"/>
        </w:rPr>
        <w:t xml:space="preserve">As such, the GoG should </w:t>
      </w:r>
      <w:r w:rsidR="00231C18" w:rsidRPr="00E53977">
        <w:rPr>
          <w:rFonts w:cs="Times New Roman"/>
          <w:szCs w:val="24"/>
        </w:rPr>
        <w:t xml:space="preserve">continue to </w:t>
      </w:r>
      <w:r w:rsidRPr="00E53977">
        <w:rPr>
          <w:rFonts w:cs="Times New Roman"/>
          <w:szCs w:val="24"/>
        </w:rPr>
        <w:t xml:space="preserve">promote the establishment of one or </w:t>
      </w:r>
      <w:r w:rsidR="00262258" w:rsidRPr="00E53977">
        <w:rPr>
          <w:rFonts w:cs="Times New Roman"/>
          <w:szCs w:val="24"/>
        </w:rPr>
        <w:t xml:space="preserve">more </w:t>
      </w:r>
      <w:r w:rsidRPr="00E53977">
        <w:rPr>
          <w:rFonts w:cs="Times New Roman"/>
          <w:szCs w:val="24"/>
        </w:rPr>
        <w:t>reference laboratories to focus on covering most methodologies related to laboratory analyses for food safety</w:t>
      </w:r>
      <w:r w:rsidR="00262258" w:rsidRPr="00E53977">
        <w:rPr>
          <w:rFonts w:cs="Times New Roman"/>
          <w:szCs w:val="24"/>
        </w:rPr>
        <w:t xml:space="preserve"> and SPS</w:t>
      </w:r>
      <w:r w:rsidRPr="00E53977">
        <w:rPr>
          <w:rFonts w:cs="Times New Roman"/>
          <w:szCs w:val="24"/>
        </w:rPr>
        <w:t xml:space="preserve"> purposes. </w:t>
      </w:r>
    </w:p>
    <w:p w14:paraId="2D39B1BE" w14:textId="07857A40" w:rsidR="00E364B9" w:rsidRPr="00E53977" w:rsidRDefault="00E364B9">
      <w:pPr>
        <w:spacing w:after="160"/>
        <w:jc w:val="left"/>
        <w:rPr>
          <w:rFonts w:eastAsiaTheme="majorEastAsia" w:cstheme="minorHAnsi"/>
          <w:b/>
          <w:caps/>
          <w:color w:val="0070C0"/>
          <w:sz w:val="28"/>
          <w:szCs w:val="32"/>
        </w:rPr>
      </w:pPr>
    </w:p>
    <w:p w14:paraId="7626D7A8" w14:textId="547F284B" w:rsidR="00B9071F" w:rsidRPr="00E53977" w:rsidRDefault="00B9071F" w:rsidP="002771FB">
      <w:pPr>
        <w:pStyle w:val="Heading1"/>
        <w:widowControl w:val="0"/>
        <w:spacing w:line="240" w:lineRule="auto"/>
      </w:pPr>
      <w:bookmarkStart w:id="24" w:name="_Toc520906365"/>
      <w:r w:rsidRPr="00E53977">
        <w:t>INSTITUTIONAL REFORM AND DEVELOPMENT</w:t>
      </w:r>
      <w:bookmarkEnd w:id="24"/>
      <w:r w:rsidRPr="00E53977">
        <w:t xml:space="preserve"> </w:t>
      </w:r>
    </w:p>
    <w:p w14:paraId="4B2C2F48" w14:textId="5D7080F2" w:rsidR="00B9071F" w:rsidRPr="00E53977" w:rsidRDefault="00065871" w:rsidP="002771FB">
      <w:pPr>
        <w:pStyle w:val="Heading2"/>
        <w:widowControl w:val="0"/>
        <w:numPr>
          <w:ilvl w:val="0"/>
          <w:numId w:val="33"/>
        </w:numPr>
      </w:pPr>
      <w:bookmarkStart w:id="25" w:name="_Toc520906366"/>
      <w:r w:rsidRPr="00E53977">
        <w:t>Institutional Reform and Capacity Development</w:t>
      </w:r>
      <w:bookmarkEnd w:id="25"/>
    </w:p>
    <w:p w14:paraId="2C1F9223" w14:textId="77777777" w:rsidR="00B9071F" w:rsidRPr="00E53977" w:rsidRDefault="00B9071F" w:rsidP="002771FB">
      <w:pPr>
        <w:widowControl w:val="0"/>
        <w:spacing w:line="240" w:lineRule="auto"/>
      </w:pPr>
      <w:r w:rsidRPr="00E53977">
        <w:t xml:space="preserve">In 2017, the regulatory system remained unchanged, with two GoG entities responsible for food safety monitoring and control, the NFA responsible for control inside Georgia, and the Revenue Service (RS) of the Ministry of Finance (MoF), which is responsible for border </w:t>
      </w:r>
      <w:r w:rsidRPr="00E53977">
        <w:lastRenderedPageBreak/>
        <w:t xml:space="preserve">control. </w:t>
      </w:r>
    </w:p>
    <w:p w14:paraId="5236052E" w14:textId="77777777" w:rsidR="00B9071F" w:rsidRPr="00E53977" w:rsidRDefault="00B9071F" w:rsidP="002771FB">
      <w:pPr>
        <w:widowControl w:val="0"/>
        <w:spacing w:line="240" w:lineRule="auto"/>
        <w:rPr>
          <w:szCs w:val="24"/>
        </w:rPr>
      </w:pPr>
      <w:r w:rsidRPr="00E53977">
        <w:t>During the assessment period, the NFA continued to implement its “Institutional Reform and Development Plan (IRDP), 2017-2019”. One of the main components of the IRDP is the development of the NFA’s human capital and internal processes. To accomplish this, the NFA conducted or facilitated numerous capacity building trainings</w:t>
      </w:r>
      <w:r w:rsidRPr="00E53977">
        <w:rPr>
          <w:rStyle w:val="FootnoteReference"/>
        </w:rPr>
        <w:footnoteReference w:id="9"/>
      </w:r>
      <w:r w:rsidRPr="00E53977">
        <w:t xml:space="preserve"> – including 31 trainings, 1 workshop, and 2 study tours – for the staff of the NFA and other public and private food safety stakeholders. Total 18 training events were organized for NFA’s own staff with 322 participants out of which 213 were female. (66% of all participants). NFA also organized 11 trainings on Standard Operational Procedures (SOPs) for total 243 FBO representatives and 120 NFA regional inspectors from all regions</w:t>
      </w:r>
      <w:r w:rsidRPr="00E53977">
        <w:rPr>
          <w:szCs w:val="24"/>
        </w:rPr>
        <w:t>.</w:t>
      </w:r>
    </w:p>
    <w:p w14:paraId="7D71A5F3" w14:textId="77777777" w:rsidR="00B9071F" w:rsidRPr="00E53977" w:rsidRDefault="00B9071F" w:rsidP="002771FB">
      <w:pPr>
        <w:widowControl w:val="0"/>
        <w:spacing w:line="240" w:lineRule="auto"/>
      </w:pPr>
      <w:r w:rsidRPr="00E53977">
        <w:t>According to the feedback collected by the NFA trainers all participants have improved their knowledge about the topics of trainings. 116 participants were evaluated based on pre- and after-training tests. Evaluation results showed that 71% had improved their knowledge of training topics.</w:t>
      </w:r>
    </w:p>
    <w:p w14:paraId="0BF85F3B" w14:textId="77777777" w:rsidR="00B9071F" w:rsidRPr="00E53977" w:rsidRDefault="00B9071F" w:rsidP="002771FB">
      <w:pPr>
        <w:widowControl w:val="0"/>
        <w:spacing w:line="240" w:lineRule="auto"/>
      </w:pPr>
      <w:r w:rsidRPr="00E53977">
        <w:t>Despite developments, there is still a shortage of qualified personnel to support not only the GoG’s implementation of its food safety reforms and ongoing monitoring and control plans but also to provide food safety expertise within the private sector FBOs, laboratories, and suppliers.</w:t>
      </w:r>
    </w:p>
    <w:p w14:paraId="526A08F7" w14:textId="77777777" w:rsidR="00B9071F" w:rsidRPr="00E53977" w:rsidRDefault="00B9071F" w:rsidP="002771FB">
      <w:pPr>
        <w:widowControl w:val="0"/>
        <w:spacing w:line="240" w:lineRule="auto"/>
      </w:pPr>
      <w:r w:rsidRPr="00E53977">
        <w:t>On the 8th of February, MoA organized a stakeholders’ meeting on developing veterinary higher education. Participants of the meeting signed a petition to the Government to return the status of a regulated profession to the veterinary education, The Ministry of Education and Science returned the status in 2017, which created the basis for the system for veterinarians to control the diseases and veterinary medicines according to international practices. However, the practical implementation of the curriculum of the veterinary education and establishment of the veterinary board controlling the profession is still outstanding.</w:t>
      </w:r>
    </w:p>
    <w:p w14:paraId="48E6BDDA" w14:textId="77777777" w:rsidR="00B9071F" w:rsidRPr="00E53977" w:rsidRDefault="00B9071F" w:rsidP="002771FB">
      <w:pPr>
        <w:widowControl w:val="0"/>
        <w:spacing w:line="240" w:lineRule="auto"/>
      </w:pPr>
      <w:r w:rsidRPr="00E53977">
        <w:t>While there has been little progress on expanding the mandate, funding, and strategies of MoA’s training center to focus on food safety issues, it may be possible to leverage the training center of the Ministry of Environment that existed prior to the merger of the 2 ministries. Further analysis would be required in order to determine incremental funding requirements to introduce a comprehensive food safety staff training program.</w:t>
      </w:r>
    </w:p>
    <w:p w14:paraId="570E3108" w14:textId="77777777" w:rsidR="00B9071F" w:rsidRPr="00E53977" w:rsidRDefault="00B9071F" w:rsidP="002771FB">
      <w:pPr>
        <w:widowControl w:val="0"/>
        <w:spacing w:line="240" w:lineRule="auto"/>
      </w:pPr>
      <w:r w:rsidRPr="00E53977">
        <w:t xml:space="preserve">The RS </w:t>
      </w:r>
      <w:r w:rsidRPr="00E53977">
        <w:rPr>
          <w:rFonts w:cs="Times New Roman"/>
          <w:szCs w:val="24"/>
        </w:rPr>
        <w:t>Customs Department</w:t>
      </w:r>
      <w:r w:rsidRPr="00E53977">
        <w:t xml:space="preserve"> continued enhancement of the infrastructure at its Border Inspection Points (BIPs) in 2017. Specifically, they begun equipping the BIP at the Red Bridge border crossing with EU-compliant border inspection equipment. The first stage of construction has been completed, the second stage began in December 2017, with completion expected in 2018. Despite modernization of the Kartsakhi BIP in 2016, there was additional renovation needed in 2017. Similarly, the RS Customs Department finalized the construction of the refrigerated storage rooms at the Adlia BIP, which became fully operational in 2017. There were delays with the construction of the BIP at Sadakhlo, which was expected to be fully upgraded in 2017, but only the contract for construction was awarded in 2017 and the construction will be finished in 2018. These developments, when completed, will increase the RS Customs Department’s capacity to handle livestock in 3 different BIPs: Kartsakhi, Sadakhlo, and Red Bridge. However, despite the modernization of the Kartsakhi BIP, there will be limited functionality for animal crossing due to the BIP on the Turkey side not being operational yet.</w:t>
      </w:r>
    </w:p>
    <w:p w14:paraId="567BDBC4" w14:textId="383D7D8C" w:rsidR="00B9071F" w:rsidRPr="00E53977" w:rsidRDefault="00065871" w:rsidP="002771FB">
      <w:pPr>
        <w:pStyle w:val="Heading2"/>
        <w:widowControl w:val="0"/>
        <w:numPr>
          <w:ilvl w:val="0"/>
          <w:numId w:val="33"/>
        </w:numPr>
      </w:pPr>
      <w:bookmarkStart w:id="26" w:name="_Toc520906367"/>
      <w:r w:rsidRPr="00E53977">
        <w:t xml:space="preserve">Accumulation </w:t>
      </w:r>
      <w:r w:rsidR="00251415" w:rsidRPr="00E53977">
        <w:t>and</w:t>
      </w:r>
      <w:r w:rsidRPr="00E53977">
        <w:t xml:space="preserve"> Management </w:t>
      </w:r>
      <w:r w:rsidR="00BE4F40" w:rsidRPr="00E53977">
        <w:t>of</w:t>
      </w:r>
      <w:r w:rsidRPr="00E53977">
        <w:t xml:space="preserve"> Information</w:t>
      </w:r>
      <w:bookmarkEnd w:id="26"/>
      <w:r w:rsidRPr="00E53977">
        <w:t xml:space="preserve"> </w:t>
      </w:r>
    </w:p>
    <w:p w14:paraId="68AAE291" w14:textId="77777777" w:rsidR="00B9071F" w:rsidRPr="00E53977" w:rsidRDefault="00B9071F" w:rsidP="002771FB">
      <w:pPr>
        <w:widowControl w:val="0"/>
        <w:spacing w:line="240" w:lineRule="auto"/>
      </w:pPr>
      <w:r w:rsidRPr="00E53977">
        <w:t xml:space="preserve">In 2017, the NFA fully mobilized the EUR 6 million, 6-year comprehensive National Animal </w:t>
      </w:r>
      <w:r w:rsidRPr="00E53977">
        <w:lastRenderedPageBreak/>
        <w:t xml:space="preserve">Identification and Traceability (NAITS) project, funded by the SDC and ADA and implemented by FAO. The project builds on the NFA’s prior AI&amp;R pilot project and improves the NFA’s databases for the accumulation and management of information on FBOs, food safety, and animal health. </w:t>
      </w:r>
      <w:bookmarkStart w:id="27" w:name="_Hlk511838081"/>
    </w:p>
    <w:p w14:paraId="7EC2B1E2" w14:textId="77777777" w:rsidR="00B9071F" w:rsidRPr="00E53977" w:rsidRDefault="00B9071F" w:rsidP="002771FB">
      <w:pPr>
        <w:widowControl w:val="0"/>
        <w:spacing w:line="240" w:lineRule="auto"/>
      </w:pPr>
      <w:r w:rsidRPr="00E53977">
        <w:t>In 2017, the NFA facilitated discussions regarding the feasibility of NFA’s own intranet. MoA IT-department began developing an intranet focusing on user needs, which is expected to be completed during the second quarter of 2018</w:t>
      </w:r>
      <w:bookmarkEnd w:id="27"/>
      <w:r w:rsidRPr="00E53977">
        <w:t xml:space="preserve">. </w:t>
      </w:r>
    </w:p>
    <w:p w14:paraId="0E2F29CF" w14:textId="77777777" w:rsidR="00B9071F" w:rsidRPr="00E53977" w:rsidRDefault="00B9071F" w:rsidP="002771FB">
      <w:pPr>
        <w:widowControl w:val="0"/>
        <w:spacing w:line="240" w:lineRule="auto"/>
      </w:pPr>
      <w:r w:rsidRPr="00E53977">
        <w:t>Beginning in May 2017, the NFA began collaborating with FAO/ENPARD in the areas of information flow, data management and IT systems. As a result, the NFA signed a MoU with the Public Registry in November, allowing the NFA direct access to the new National Economic Activities Registry (NAPR), which requires FBOs to update their registration on an annual basis. The NAPR became operational in September 2017, allowing also the NFA to update their FBO database. Since the beginning of December 2017 NFA has been verifying/confirming FBOs in the Public Registry’s new database. This exercise will be finalized by the end of January 2018. This new NAPR regulation has resulted in a reduction to only 30,000 FBOs in the NFA’s register, of which 89% have received site visits from the NFA and have been confirmed as active FBOs.</w:t>
      </w:r>
    </w:p>
    <w:p w14:paraId="4263A3AB" w14:textId="77777777" w:rsidR="00B9071F" w:rsidRPr="00E53977" w:rsidRDefault="00B9071F" w:rsidP="002771FB">
      <w:pPr>
        <w:widowControl w:val="0"/>
        <w:spacing w:line="240" w:lineRule="auto"/>
      </w:pPr>
      <w:r w:rsidRPr="00E53977">
        <w:t>Due to the linkage to NAPR, the efficiency of the NFA’s software on risk-based inspections has improved, given that the number of provisional FBOs is about 125,000 and the NFA has 30,000 of them confirmed. This has improved the management of resources since inspectors do not plan inspections for companies only registered as FBOs but not really involved in food-related activities. This system will continue to improve, as the NFA FBO database is directly linked to NAPR’s database and updates automatically, capturing any new FBOs and removing FBOs that have ceased operations.</w:t>
      </w:r>
    </w:p>
    <w:p w14:paraId="038ABD2D" w14:textId="77777777" w:rsidR="00B9071F" w:rsidRPr="00E53977" w:rsidRDefault="00B9071F" w:rsidP="002771FB">
      <w:pPr>
        <w:widowControl w:val="0"/>
        <w:spacing w:line="240" w:lineRule="auto"/>
      </w:pPr>
      <w:r w:rsidRPr="00E53977">
        <w:t xml:space="preserve">In order to promptly capture, store, manipulate, analyze, manage, and present all types of SPS geographical data, the NFA has actively implemented </w:t>
      </w:r>
      <w:r w:rsidRPr="00E53977">
        <w:rPr>
          <w:rFonts w:cs="Calibri"/>
          <w:bCs/>
        </w:rPr>
        <w:t>geographic information systems</w:t>
      </w:r>
      <w:r w:rsidRPr="00E53977">
        <w:rPr>
          <w:rFonts w:cs="Calibri"/>
        </w:rPr>
        <w:t xml:space="preserve"> (</w:t>
      </w:r>
      <w:r w:rsidRPr="00E53977">
        <w:rPr>
          <w:rFonts w:cs="Calibri"/>
          <w:bCs/>
        </w:rPr>
        <w:t>GIS</w:t>
      </w:r>
      <w:r w:rsidRPr="00E53977">
        <w:rPr>
          <w:rFonts w:cs="Calibri"/>
        </w:rPr>
        <w:t xml:space="preserve">) into its veterinary and phytosanitary operations. Furthermore, the NFA participated in the MLHSA and U.S. Centers for Disease Control and Prevention (CDC) lead development of an </w:t>
      </w:r>
      <w:r w:rsidRPr="00E53977">
        <w:rPr>
          <w:rFonts w:cs="Calibri"/>
          <w:iCs/>
          <w:color w:val="000000"/>
          <w:lang w:eastAsia="ru-RU"/>
        </w:rPr>
        <w:t>Electronic Integrated Disease Surveillance System</w:t>
      </w:r>
      <w:r w:rsidRPr="00E53977">
        <w:rPr>
          <w:rFonts w:cs="Calibri"/>
          <w:color w:val="000000"/>
          <w:lang w:eastAsia="ru-RU"/>
        </w:rPr>
        <w:t xml:space="preserve"> (EIDSS), resulting in the integration of disease management software, linking </w:t>
      </w:r>
      <w:r w:rsidRPr="00E53977">
        <w:t>MLHSA facilities, NCDC, NFA’s regional, district and central veterinary offices, and the LMA and its subordinate laboratories</w:t>
      </w:r>
      <w:r w:rsidRPr="00E53977">
        <w:rPr>
          <w:rFonts w:cs="Calibri"/>
          <w:color w:val="000000"/>
          <w:lang w:eastAsia="ru-RU"/>
        </w:rPr>
        <w:t>.</w:t>
      </w:r>
    </w:p>
    <w:p w14:paraId="7C8829F5" w14:textId="77777777" w:rsidR="00B9071F" w:rsidRPr="00E53977" w:rsidRDefault="00B9071F" w:rsidP="002771FB">
      <w:pPr>
        <w:widowControl w:val="0"/>
        <w:spacing w:line="240" w:lineRule="auto"/>
      </w:pPr>
      <w:r w:rsidRPr="00E53977">
        <w:rPr>
          <w:rFonts w:cstheme="minorHAnsi"/>
        </w:rPr>
        <w:t xml:space="preserve">At present, EIDSS is used by over 250 NFA and LMA employees. The </w:t>
      </w:r>
      <w:r w:rsidRPr="00E53977">
        <w:t xml:space="preserve">NFA Veterinary Department and LMA are systematically inputting Brucellosis and FMD sero-monitoring data into the EIDSS system, as well as using the GIS for mapping of historical and current human and animal Anthrax cases by adding the number of animal species in those areas. Similarly, the U.S. supported Brown Marmorated Stinking Bug (BMSB) project has provided all necessary support for using the GIS in localizing BMSB infestations in 2017. </w:t>
      </w:r>
      <w:r w:rsidRPr="00E53977">
        <w:rPr>
          <w:rFonts w:cstheme="minorHAnsi"/>
        </w:rPr>
        <w:t>A new version of the EIDSS is under development with some modules being tested at the end of 2017.</w:t>
      </w:r>
    </w:p>
    <w:p w14:paraId="0EBE8834" w14:textId="1ACD2251" w:rsidR="00B9071F" w:rsidRPr="00E53977" w:rsidRDefault="00065871" w:rsidP="002771FB">
      <w:pPr>
        <w:pStyle w:val="Heading2"/>
        <w:widowControl w:val="0"/>
        <w:numPr>
          <w:ilvl w:val="0"/>
          <w:numId w:val="33"/>
        </w:numPr>
      </w:pPr>
      <w:bookmarkStart w:id="28" w:name="_Toc520906368"/>
      <w:r w:rsidRPr="00E53977">
        <w:t>Management Processes</w:t>
      </w:r>
      <w:bookmarkEnd w:id="28"/>
      <w:r w:rsidRPr="00E53977">
        <w:t xml:space="preserve"> </w:t>
      </w:r>
    </w:p>
    <w:p w14:paraId="3E7BF175" w14:textId="2077CB2E" w:rsidR="00B9071F" w:rsidRPr="00E53977" w:rsidRDefault="00B9071F" w:rsidP="002771FB">
      <w:pPr>
        <w:widowControl w:val="0"/>
        <w:spacing w:line="240" w:lineRule="auto"/>
        <w:rPr>
          <w:i/>
        </w:rPr>
      </w:pPr>
      <w:r w:rsidRPr="00E53977">
        <w:t>In April 2017, with the objective to make the food safety control system more efficient and to streamline processes, the NFA Quality Management Department was transformed into a Division of the Food Safety Department.</w:t>
      </w:r>
      <w:r w:rsidRPr="00E53977">
        <w:rPr>
          <w:i/>
        </w:rPr>
        <w:t xml:space="preserve"> </w:t>
      </w:r>
      <w:r w:rsidRPr="00E53977">
        <w:t xml:space="preserve">The division developed SOPs for multiple NFA activities, such as market surveillance, documentary inspections, labelling etc. The implementation of the SOPs was supported by NFA conducted trainings on for </w:t>
      </w:r>
      <w:r w:rsidR="007B7B69">
        <w:t xml:space="preserve">120 NFA regional </w:t>
      </w:r>
      <w:r w:rsidRPr="00E53977">
        <w:t xml:space="preserve">staff and </w:t>
      </w:r>
      <w:r w:rsidR="007B7B69">
        <w:t xml:space="preserve">243 </w:t>
      </w:r>
      <w:r w:rsidRPr="00E53977">
        <w:t>FBO</w:t>
      </w:r>
      <w:r w:rsidR="007B7B69">
        <w:t xml:space="preserve"> representative</w:t>
      </w:r>
      <w:r w:rsidRPr="00E53977">
        <w:t xml:space="preserve">s. </w:t>
      </w:r>
    </w:p>
    <w:p w14:paraId="33EAE2AE" w14:textId="0F7ED221" w:rsidR="00B9071F" w:rsidRPr="00E53977" w:rsidRDefault="00B9071F" w:rsidP="002771FB">
      <w:pPr>
        <w:widowControl w:val="0"/>
        <w:spacing w:line="240" w:lineRule="auto"/>
      </w:pPr>
      <w:r w:rsidRPr="00E53977">
        <w:t xml:space="preserve">The NFA studied the Czech Agriculture and Food Inspection Authority (CAFIA) transition </w:t>
      </w:r>
      <w:r w:rsidRPr="00E53977">
        <w:lastRenderedPageBreak/>
        <w:t>experience and implementation/ maintenance of ISO 9001 certified quality management system. CAFIA is one of the few specialized state agencies in Europe with the ISO 9001 certified management system. The NFA leadership team had planned visit to CAFIA in November 2017; however, this trip was rescheduled for February 2018 due to the requirements of the merger of the Ministry of Agriculture with the Ministry of Environment and Natural Resources Protection.</w:t>
      </w:r>
      <w:r w:rsidR="00AB6B2F" w:rsidRPr="00E53977">
        <w:t xml:space="preserve"> </w:t>
      </w:r>
    </w:p>
    <w:p w14:paraId="55070A7F" w14:textId="77777777" w:rsidR="00B9071F" w:rsidRPr="00E53977" w:rsidRDefault="00B9071F" w:rsidP="002771FB">
      <w:pPr>
        <w:widowControl w:val="0"/>
        <w:tabs>
          <w:tab w:val="left" w:pos="2410"/>
        </w:tabs>
        <w:spacing w:line="240" w:lineRule="auto"/>
      </w:pPr>
      <w:r w:rsidRPr="00E53977">
        <w:t xml:space="preserve">As compared to the 2016 EPF assessment, based on respondents’ comments, there appears to have been some improvement in the proper recording of all recommendations made during the inspections process by the NFA inspectors. The decrease in complaints from FBO representatives suggests also that the additional trainings provided to inspectors has been effective. Still, to ensure that the inspectors continue to adhere to the enforced standards, </w:t>
      </w:r>
      <w:r w:rsidRPr="00E53977">
        <w:rPr>
          <w:rFonts w:eastAsia="Times New Roman" w:cs="Arial"/>
          <w:szCs w:val="20"/>
          <w:lang w:eastAsia="en-GB"/>
        </w:rPr>
        <w:t>they</w:t>
      </w:r>
      <w:r w:rsidRPr="00E53977">
        <w:t xml:space="preserve"> should use all available information, including the inspected firms’ international food safety system certificates (e.g., HACCP, FSSC 22000) to develop their conclusions and recommendations, particularly the newly-hired staff members.</w:t>
      </w:r>
    </w:p>
    <w:p w14:paraId="0A2A8973" w14:textId="508FBF17" w:rsidR="00B9071F" w:rsidRPr="00E53977" w:rsidRDefault="00065871" w:rsidP="002771FB">
      <w:pPr>
        <w:pStyle w:val="Heading2"/>
        <w:widowControl w:val="0"/>
      </w:pPr>
      <w:bookmarkStart w:id="29" w:name="_Toc520906369"/>
      <w:r w:rsidRPr="00E53977">
        <w:t>Food Safety Risk Analysis</w:t>
      </w:r>
      <w:bookmarkEnd w:id="29"/>
    </w:p>
    <w:p w14:paraId="1CE7B60E" w14:textId="14A3FD12" w:rsidR="00B9071F" w:rsidRPr="00E53977" w:rsidRDefault="00B9071F" w:rsidP="002771FB">
      <w:pPr>
        <w:pStyle w:val="List1"/>
        <w:numPr>
          <w:ilvl w:val="0"/>
          <w:numId w:val="0"/>
        </w:numPr>
      </w:pPr>
      <w:bookmarkStart w:id="30" w:name="_Hlk480808758"/>
      <w:r w:rsidRPr="00E53977">
        <w:t>The risk assessment division of the Science and Research Center Agriculture (SRCA) of MoA was established in 2014, to follow the international SPS risk analysis principles of Codex Alimentarius, OIE, and IPPC, which separate the risk assessment and risk management roles, in the case of Georgia between the SRCA and the MoA/NFA.</w:t>
      </w:r>
      <w:r w:rsidR="00AB6B2F" w:rsidRPr="00E53977">
        <w:t xml:space="preserve"> </w:t>
      </w:r>
      <w:r w:rsidRPr="00E53977">
        <w:t xml:space="preserve">The SRCA has the mandate to perform risk assessments for food safety, veterinary and phytosanitary sectors. The rest of risk analysis, (i.e. risk management and risk communication) </w:t>
      </w:r>
      <w:r w:rsidR="0046143C">
        <w:t xml:space="preserve">falls within </w:t>
      </w:r>
      <w:r w:rsidRPr="00E53977">
        <w:t>the NFA’s mandate</w:t>
      </w:r>
      <w:r w:rsidR="0046143C">
        <w:t>,</w:t>
      </w:r>
      <w:r w:rsidR="007B7B69" w:rsidRPr="007B7B69">
        <w:t xml:space="preserve"> which are elaborated in more detail </w:t>
      </w:r>
      <w:r w:rsidR="0046143C">
        <w:t>throughout various sections of</w:t>
      </w:r>
      <w:r w:rsidR="007B7B69" w:rsidRPr="007B7B69">
        <w:t xml:space="preserve"> this report</w:t>
      </w:r>
      <w:r w:rsidR="004E698A">
        <w:t>’s</w:t>
      </w:r>
      <w:r w:rsidR="007B7B69" w:rsidRPr="007B7B69">
        <w:t xml:space="preserve"> monitoring and control</w:t>
      </w:r>
      <w:r w:rsidR="00167AD3">
        <w:t xml:space="preserve"> </w:t>
      </w:r>
      <w:r w:rsidR="004E698A">
        <w:t xml:space="preserve">and </w:t>
      </w:r>
      <w:r w:rsidR="007B7B69" w:rsidRPr="007B7B69">
        <w:t xml:space="preserve">public awareness </w:t>
      </w:r>
      <w:r w:rsidR="004E698A" w:rsidRPr="007B7B69">
        <w:t>activities</w:t>
      </w:r>
      <w:r w:rsidR="007B7B69" w:rsidRPr="007B7B69">
        <w:t>.</w:t>
      </w:r>
      <w:r w:rsidRPr="00E53977">
        <w:t xml:space="preserve"> </w:t>
      </w:r>
    </w:p>
    <w:p w14:paraId="003FF02F" w14:textId="77777777" w:rsidR="00B9071F" w:rsidRPr="00E53977" w:rsidRDefault="00B9071F" w:rsidP="002771FB">
      <w:pPr>
        <w:widowControl w:val="0"/>
        <w:spacing w:line="240" w:lineRule="auto"/>
      </w:pPr>
      <w:r w:rsidRPr="00E53977">
        <w:t xml:space="preserve">The SRCA needs to utilize two types of data for conducting risk assessment for the food safety framework appropriately: occurrence data, which is provided by the NFA and NCDC, and consumption data, for which the MLHSA and GeoStat is responsible for collection. The most recent MLHSA data survey was conducted only in 2001, and GeoStat is not collecting consumption data but expenditure data. This is resulting in insufficient consumption data for any risk analysis purposes. </w:t>
      </w:r>
    </w:p>
    <w:p w14:paraId="2FEDFE49" w14:textId="77777777" w:rsidR="00B9071F" w:rsidRPr="00E53977" w:rsidRDefault="00B9071F" w:rsidP="002771FB">
      <w:pPr>
        <w:widowControl w:val="0"/>
        <w:spacing w:line="240" w:lineRule="auto"/>
        <w:rPr>
          <w:rStyle w:val="CommentReference"/>
        </w:rPr>
      </w:pPr>
      <w:r w:rsidRPr="00E53977">
        <w:t>A TAIEX mission of a Scientific Officer from the European Food Safety Authority (EFSA), provided in January 2017 validation of the SRCA’s risk assessment using the ‘probable exposure’ approach in case there is not sufficient data. The approach was found to be aligned with the EFSA methodology, however, as already mentioned in the 2016 EPF report, the SRCA still needs to obtain greater access to better data from the MLHSA, RS, GeoStat and other GoG entities for its risk assessment purposes. GeoStat has shown interest to start collecting real food consumption data in their household studies. This is expected to start late 2018 or early 2019.</w:t>
      </w:r>
    </w:p>
    <w:p w14:paraId="757746BF" w14:textId="3D29DED3" w:rsidR="006C3A74" w:rsidRPr="006C3A74" w:rsidRDefault="007B7B69" w:rsidP="006C3A74">
      <w:pPr>
        <w:widowControl w:val="0"/>
        <w:spacing w:line="240" w:lineRule="auto"/>
        <w:rPr>
          <w:color w:val="000000"/>
        </w:rPr>
      </w:pPr>
      <w:r w:rsidRPr="007B7B69">
        <w:rPr>
          <w:lang w:eastAsia="ru-RU"/>
        </w:rPr>
        <w:t>As an example of integrated risk communication regarding trans-fats,</w:t>
      </w:r>
      <w:r w:rsidR="00870F38">
        <w:rPr>
          <w:lang w:eastAsia="ru-RU"/>
        </w:rPr>
        <w:t xml:space="preserve"> </w:t>
      </w:r>
      <w:r w:rsidR="00B9071F" w:rsidRPr="00E53977">
        <w:rPr>
          <w:lang w:eastAsia="ru-RU"/>
        </w:rPr>
        <w:t>the NFA collaborated with the SRCA</w:t>
      </w:r>
      <w:r w:rsidR="006C3A74">
        <w:rPr>
          <w:lang w:eastAsia="ru-RU"/>
        </w:rPr>
        <w:t>,</w:t>
      </w:r>
      <w:r w:rsidR="00B9071F" w:rsidRPr="00E53977">
        <w:rPr>
          <w:lang w:eastAsia="ru-RU"/>
        </w:rPr>
        <w:t xml:space="preserve"> </w:t>
      </w:r>
      <w:r w:rsidR="00B9071F" w:rsidRPr="00E53977">
        <w:t xml:space="preserve">in </w:t>
      </w:r>
      <w:r w:rsidR="006C3A74" w:rsidRPr="00E53977">
        <w:rPr>
          <w:lang w:eastAsia="ru-RU"/>
        </w:rPr>
        <w:t>May 2017</w:t>
      </w:r>
      <w:r w:rsidR="006C3A74">
        <w:rPr>
          <w:lang w:eastAsia="ru-RU"/>
        </w:rPr>
        <w:t xml:space="preserve">, </w:t>
      </w:r>
      <w:r w:rsidR="00B9071F" w:rsidRPr="00E53977">
        <w:t xml:space="preserve">organizing the lecture, </w:t>
      </w:r>
      <w:r w:rsidR="00F772BB" w:rsidRPr="00E53977">
        <w:rPr>
          <w:color w:val="212121"/>
        </w:rPr>
        <w:t>“</w:t>
      </w:r>
      <w:r w:rsidR="00B9071F" w:rsidRPr="00E53977">
        <w:rPr>
          <w:color w:val="000000"/>
        </w:rPr>
        <w:t>Artificial trans-fat in popular foods: a market basket investigation in 2015-2016 in 15 countries of the former Soviet Union</w:t>
      </w:r>
      <w:r w:rsidR="00D40B65" w:rsidRPr="00E53977">
        <w:rPr>
          <w:color w:val="000000"/>
        </w:rPr>
        <w:t>”</w:t>
      </w:r>
      <w:r w:rsidR="00B9071F" w:rsidRPr="00E53977">
        <w:rPr>
          <w:color w:val="000000"/>
        </w:rPr>
        <w:t xml:space="preserve"> in the Georgian Academy of Agricultural Sciences</w:t>
      </w:r>
      <w:r w:rsidR="00D40B65" w:rsidRPr="00E53977">
        <w:rPr>
          <w:color w:val="000000"/>
        </w:rPr>
        <w:t>, after which</w:t>
      </w:r>
      <w:r w:rsidR="006C3A74">
        <w:rPr>
          <w:color w:val="000000"/>
        </w:rPr>
        <w:t>.</w:t>
      </w:r>
      <w:r w:rsidR="00B9071F" w:rsidRPr="00E53977">
        <w:rPr>
          <w:color w:val="000000"/>
        </w:rPr>
        <w:t xml:space="preserve"> </w:t>
      </w:r>
      <w:r w:rsidR="006C3A74" w:rsidRPr="006C3A74">
        <w:rPr>
          <w:color w:val="000000"/>
        </w:rPr>
        <w:t>The audience of over 100 people</w:t>
      </w:r>
      <w:r w:rsidR="004809C8">
        <w:rPr>
          <w:color w:val="000000"/>
        </w:rPr>
        <w:t xml:space="preserve"> – </w:t>
      </w:r>
      <w:r w:rsidR="006C3A74" w:rsidRPr="006C3A74">
        <w:rPr>
          <w:color w:val="000000"/>
        </w:rPr>
        <w:t xml:space="preserve">including experts, media and general public </w:t>
      </w:r>
      <w:r w:rsidR="00174502">
        <w:rPr>
          <w:color w:val="000000"/>
        </w:rPr>
        <w:t xml:space="preserve">– </w:t>
      </w:r>
      <w:r w:rsidR="004809C8">
        <w:rPr>
          <w:color w:val="000000"/>
        </w:rPr>
        <w:t>reached</w:t>
      </w:r>
      <w:r w:rsidR="006C3A74" w:rsidRPr="006C3A74">
        <w:rPr>
          <w:color w:val="000000"/>
        </w:rPr>
        <w:t xml:space="preserve"> consensus </w:t>
      </w:r>
      <w:r w:rsidR="004809C8">
        <w:rPr>
          <w:color w:val="000000"/>
        </w:rPr>
        <w:t>about</w:t>
      </w:r>
      <w:r w:rsidR="006C3A74" w:rsidRPr="006C3A74">
        <w:rPr>
          <w:color w:val="000000"/>
        </w:rPr>
        <w:t xml:space="preserve"> the importance of enforcing Georgian legislation concerning industrial trans-fats.</w:t>
      </w:r>
    </w:p>
    <w:p w14:paraId="2100BABB" w14:textId="502792EC" w:rsidR="006C3A74" w:rsidRPr="006C3A74" w:rsidRDefault="00174502" w:rsidP="006C3A74">
      <w:pPr>
        <w:widowControl w:val="0"/>
        <w:spacing w:line="240" w:lineRule="auto"/>
        <w:rPr>
          <w:color w:val="000000"/>
        </w:rPr>
      </w:pPr>
      <w:r>
        <w:rPr>
          <w:color w:val="000000"/>
        </w:rPr>
        <w:t>The r</w:t>
      </w:r>
      <w:r w:rsidR="006C3A74" w:rsidRPr="006C3A74">
        <w:rPr>
          <w:color w:val="000000"/>
        </w:rPr>
        <w:t xml:space="preserve">isk management </w:t>
      </w:r>
      <w:r>
        <w:rPr>
          <w:color w:val="000000"/>
        </w:rPr>
        <w:t xml:space="preserve">process for </w:t>
      </w:r>
      <w:r w:rsidR="006C3A74" w:rsidRPr="006C3A74">
        <w:rPr>
          <w:color w:val="000000"/>
        </w:rPr>
        <w:t>trans-fats in food was based in 2017 on</w:t>
      </w:r>
      <w:r>
        <w:rPr>
          <w:color w:val="000000"/>
        </w:rPr>
        <w:t xml:space="preserve"> the</w:t>
      </w:r>
      <w:r w:rsidR="006C3A74" w:rsidRPr="006C3A74">
        <w:rPr>
          <w:color w:val="000000"/>
        </w:rPr>
        <w:t xml:space="preserve"> SRCA’s risk assessment report of 2016. Enforcement of the GoG Decree №262 started from August 1, 2017</w:t>
      </w:r>
      <w:r>
        <w:rPr>
          <w:color w:val="000000"/>
        </w:rPr>
        <w:t>,</w:t>
      </w:r>
      <w:r w:rsidR="006C3A74" w:rsidRPr="006C3A74">
        <w:rPr>
          <w:color w:val="000000"/>
        </w:rPr>
        <w:t xml:space="preserve"> and</w:t>
      </w:r>
      <w:r w:rsidR="006C3A74">
        <w:rPr>
          <w:color w:val="000000"/>
        </w:rPr>
        <w:t xml:space="preserve"> </w:t>
      </w:r>
      <w:r w:rsidR="00D40B65" w:rsidRPr="00E53977">
        <w:rPr>
          <w:color w:val="000000"/>
        </w:rPr>
        <w:t xml:space="preserve">the </w:t>
      </w:r>
      <w:r w:rsidR="00B9071F" w:rsidRPr="00E53977">
        <w:rPr>
          <w:color w:val="000000"/>
        </w:rPr>
        <w:t xml:space="preserve">NFA </w:t>
      </w:r>
      <w:r w:rsidR="00D40B65" w:rsidRPr="00E53977">
        <w:rPr>
          <w:color w:val="000000"/>
        </w:rPr>
        <w:t xml:space="preserve">began </w:t>
      </w:r>
      <w:r w:rsidR="00B9071F" w:rsidRPr="00E53977">
        <w:rPr>
          <w:color w:val="000000"/>
        </w:rPr>
        <w:t>systematic analysis of industrial trans-fats in foods</w:t>
      </w:r>
      <w:r w:rsidR="008E1D99">
        <w:rPr>
          <w:color w:val="000000"/>
        </w:rPr>
        <w:t>, finding</w:t>
      </w:r>
      <w:r w:rsidR="00B9071F" w:rsidRPr="00E53977">
        <w:rPr>
          <w:color w:val="000000"/>
        </w:rPr>
        <w:t xml:space="preserve"> almost 10% of samples </w:t>
      </w:r>
      <w:r w:rsidR="008E1D99">
        <w:rPr>
          <w:color w:val="000000"/>
        </w:rPr>
        <w:t xml:space="preserve">taken </w:t>
      </w:r>
      <w:r w:rsidR="00B9071F" w:rsidRPr="00E53977">
        <w:rPr>
          <w:color w:val="000000"/>
        </w:rPr>
        <w:t xml:space="preserve">exceeding the limits set by the new legislation. </w:t>
      </w:r>
      <w:bookmarkEnd w:id="30"/>
      <w:r w:rsidR="006C3A74" w:rsidRPr="006C3A74">
        <w:rPr>
          <w:color w:val="000000"/>
        </w:rPr>
        <w:t>However,</w:t>
      </w:r>
      <w:r w:rsidR="008D33B8">
        <w:rPr>
          <w:color w:val="000000"/>
        </w:rPr>
        <w:t xml:space="preserve"> the</w:t>
      </w:r>
      <w:r w:rsidR="006C3A74" w:rsidRPr="006C3A74">
        <w:rPr>
          <w:color w:val="000000"/>
        </w:rPr>
        <w:t xml:space="preserve"> NFA should provide </w:t>
      </w:r>
      <w:r w:rsidR="008C1343">
        <w:rPr>
          <w:color w:val="000000"/>
        </w:rPr>
        <w:t xml:space="preserve">SRCA </w:t>
      </w:r>
      <w:r w:rsidR="006C3A74" w:rsidRPr="006C3A74">
        <w:rPr>
          <w:color w:val="000000"/>
        </w:rPr>
        <w:t>results on the impact of these risk management measures</w:t>
      </w:r>
      <w:r w:rsidR="00491C46">
        <w:rPr>
          <w:color w:val="000000"/>
        </w:rPr>
        <w:t>, such as whether</w:t>
      </w:r>
      <w:r w:rsidR="006C3A74" w:rsidRPr="006C3A74">
        <w:rPr>
          <w:color w:val="000000"/>
        </w:rPr>
        <w:t xml:space="preserve"> the </w:t>
      </w:r>
      <w:r w:rsidR="006C3A74" w:rsidRPr="006C3A74">
        <w:rPr>
          <w:color w:val="000000"/>
        </w:rPr>
        <w:lastRenderedPageBreak/>
        <w:t xml:space="preserve">amount of industrial trans-fats in foods </w:t>
      </w:r>
      <w:r w:rsidR="00491C46">
        <w:rPr>
          <w:color w:val="000000"/>
        </w:rPr>
        <w:t>has</w:t>
      </w:r>
      <w:r w:rsidR="006C3A74" w:rsidRPr="006C3A74">
        <w:rPr>
          <w:color w:val="000000"/>
        </w:rPr>
        <w:t xml:space="preserve"> decrease</w:t>
      </w:r>
      <w:r w:rsidR="00491C46">
        <w:rPr>
          <w:color w:val="000000"/>
        </w:rPr>
        <w:t>d</w:t>
      </w:r>
      <w:r w:rsidR="006C3A74" w:rsidRPr="006C3A74">
        <w:rPr>
          <w:color w:val="000000"/>
        </w:rPr>
        <w:t xml:space="preserve"> as </w:t>
      </w:r>
      <w:r w:rsidR="00491C46">
        <w:rPr>
          <w:color w:val="000000"/>
        </w:rPr>
        <w:t>indicated</w:t>
      </w:r>
      <w:r w:rsidR="006C3A74" w:rsidRPr="006C3A74">
        <w:rPr>
          <w:color w:val="000000"/>
        </w:rPr>
        <w:t xml:space="preserve"> by the risk assessment report.</w:t>
      </w:r>
    </w:p>
    <w:p w14:paraId="58410DBD" w14:textId="0169AAFF" w:rsidR="00B9071F" w:rsidRPr="00E53977" w:rsidRDefault="00236585" w:rsidP="006C3A74">
      <w:pPr>
        <w:widowControl w:val="0"/>
        <w:spacing w:line="240" w:lineRule="auto"/>
      </w:pPr>
      <w:r>
        <w:rPr>
          <w:color w:val="000000"/>
        </w:rPr>
        <w:t xml:space="preserve">Currently, the SRCA has produced </w:t>
      </w:r>
      <w:r w:rsidR="006C3A74" w:rsidRPr="006C3A74">
        <w:rPr>
          <w:color w:val="000000"/>
        </w:rPr>
        <w:t>risk a</w:t>
      </w:r>
      <w:r>
        <w:rPr>
          <w:color w:val="000000"/>
        </w:rPr>
        <w:t>ssessment</w:t>
      </w:r>
      <w:r w:rsidR="006C3A74" w:rsidRPr="006C3A74">
        <w:rPr>
          <w:color w:val="000000"/>
        </w:rPr>
        <w:t xml:space="preserve"> reports on food pathogenic bacteria and trans-fats </w:t>
      </w:r>
      <w:r>
        <w:rPr>
          <w:color w:val="000000"/>
        </w:rPr>
        <w:t>but</w:t>
      </w:r>
      <w:r w:rsidR="006C3A74" w:rsidRPr="006C3A74">
        <w:rPr>
          <w:color w:val="000000"/>
        </w:rPr>
        <w:t xml:space="preserve"> not on </w:t>
      </w:r>
      <w:r>
        <w:rPr>
          <w:color w:val="000000"/>
        </w:rPr>
        <w:t xml:space="preserve">other </w:t>
      </w:r>
      <w:r w:rsidR="006C3A74" w:rsidRPr="006C3A74">
        <w:rPr>
          <w:color w:val="000000"/>
        </w:rPr>
        <w:t>issues</w:t>
      </w:r>
      <w:r>
        <w:rPr>
          <w:color w:val="000000"/>
        </w:rPr>
        <w:t>, such as</w:t>
      </w:r>
      <w:r w:rsidR="006C3A74" w:rsidRPr="006C3A74">
        <w:rPr>
          <w:color w:val="000000"/>
        </w:rPr>
        <w:t xml:space="preserve"> antibiotic and other residues in foods</w:t>
      </w:r>
      <w:r w:rsidR="002C004F">
        <w:rPr>
          <w:color w:val="000000"/>
        </w:rPr>
        <w:t xml:space="preserve">. However, </w:t>
      </w:r>
      <w:r w:rsidR="006C3A74" w:rsidRPr="006C3A74">
        <w:rPr>
          <w:color w:val="000000"/>
        </w:rPr>
        <w:t xml:space="preserve">risk communication and management </w:t>
      </w:r>
      <w:r w:rsidR="002C004F">
        <w:rPr>
          <w:color w:val="000000"/>
        </w:rPr>
        <w:t xml:space="preserve">activities </w:t>
      </w:r>
      <w:r w:rsidR="006C3A74" w:rsidRPr="006C3A74">
        <w:rPr>
          <w:color w:val="000000"/>
        </w:rPr>
        <w:t xml:space="preserve">(e.g. Anti-Microbial Resistance Strategy) </w:t>
      </w:r>
      <w:r w:rsidR="00672705">
        <w:rPr>
          <w:color w:val="000000"/>
        </w:rPr>
        <w:t>are being</w:t>
      </w:r>
      <w:r w:rsidR="006C3A74" w:rsidRPr="006C3A74">
        <w:rPr>
          <w:color w:val="000000"/>
        </w:rPr>
        <w:t xml:space="preserve"> </w:t>
      </w:r>
      <w:r w:rsidR="00672705">
        <w:rPr>
          <w:color w:val="000000"/>
        </w:rPr>
        <w:t>conducted</w:t>
      </w:r>
      <w:r w:rsidR="006C3A74" w:rsidRPr="006C3A74">
        <w:rPr>
          <w:color w:val="000000"/>
        </w:rPr>
        <w:t xml:space="preserve"> without proper risk assessment.</w:t>
      </w:r>
    </w:p>
    <w:p w14:paraId="52B8DE01" w14:textId="61425CBC" w:rsidR="00B9071F" w:rsidRPr="00E53977" w:rsidRDefault="00065871" w:rsidP="002771FB">
      <w:pPr>
        <w:pStyle w:val="Heading2"/>
        <w:widowControl w:val="0"/>
      </w:pPr>
      <w:bookmarkStart w:id="31" w:name="_Toc520906370"/>
      <w:r w:rsidRPr="00E53977">
        <w:t>Food Safety Laboratories and Accreditation</w:t>
      </w:r>
      <w:bookmarkEnd w:id="31"/>
    </w:p>
    <w:p w14:paraId="1929BE1B" w14:textId="30578280" w:rsidR="00B9071F" w:rsidRPr="00E53977" w:rsidRDefault="00B9071F" w:rsidP="002771FB">
      <w:pPr>
        <w:widowControl w:val="0"/>
        <w:spacing w:line="240" w:lineRule="auto"/>
      </w:pPr>
      <w:r w:rsidRPr="00E53977">
        <w:t xml:space="preserve">In 2017, the NFA started to require all </w:t>
      </w:r>
      <w:r w:rsidR="00AD34CE" w:rsidRPr="00E53977">
        <w:t xml:space="preserve">laboratories </w:t>
      </w:r>
      <w:r w:rsidRPr="00E53977">
        <w:t xml:space="preserve">participating in some key NFA tenders to pass proficiency tests, which is also required for maintaining laboratory accreditation from the Georgian Accreditation Center (GAC). Full enforcement of this requirement will begin in 2018. The improved compliance with the accreditation requirements for proficiency testing started to improve credibility of the results of both private and public laboratories. </w:t>
      </w:r>
      <w:r w:rsidRPr="00E53977">
        <w:rPr>
          <w:rFonts w:cs="Times New Roman"/>
        </w:rPr>
        <w:t xml:space="preserve">The proficiency testing became even more important in 2017 when the GAC </w:t>
      </w:r>
      <w:r w:rsidRPr="00E53977">
        <w:t xml:space="preserve">became an associated member of European Accreditation (EA), which is a significant step for the Georgian laboratory results being accepted by European buyers and inspection bodies. </w:t>
      </w:r>
    </w:p>
    <w:p w14:paraId="716EE14E" w14:textId="637B2A11" w:rsidR="00B9071F" w:rsidRPr="00E53977" w:rsidRDefault="00B9071F" w:rsidP="002771FB">
      <w:pPr>
        <w:widowControl w:val="0"/>
        <w:spacing w:line="240" w:lineRule="auto"/>
      </w:pPr>
      <w:r w:rsidRPr="00E53977">
        <w:t>The GAC noted that the</w:t>
      </w:r>
      <w:r w:rsidR="005F72CA" w:rsidRPr="00E53977">
        <w:t>re</w:t>
      </w:r>
      <w:r w:rsidRPr="00E53977">
        <w:t xml:space="preserve"> are no official, formalized procedures for managing sample transportation requirements or the time between the moment the sample is taken and </w:t>
      </w:r>
      <w:r w:rsidR="00F772BB" w:rsidRPr="00E53977">
        <w:t>laboratory analysis</w:t>
      </w:r>
      <w:r w:rsidRPr="00E53977">
        <w:t xml:space="preserve">. GAC stated that current regulations require FBO representatives to </w:t>
      </w:r>
      <w:r w:rsidR="00067BDD" w:rsidRPr="00E53977">
        <w:t xml:space="preserve">either take the samples or to </w:t>
      </w:r>
      <w:r w:rsidRPr="00E53977">
        <w:t>be present while</w:t>
      </w:r>
      <w:r w:rsidR="00067BDD" w:rsidRPr="00E53977">
        <w:t xml:space="preserve"> inspectors </w:t>
      </w:r>
      <w:r w:rsidR="00F772BB" w:rsidRPr="00E53977">
        <w:t>do</w:t>
      </w:r>
      <w:r w:rsidRPr="00E53977">
        <w:t>; however, FBO</w:t>
      </w:r>
      <w:r w:rsidR="00127003" w:rsidRPr="00E53977">
        <w:t xml:space="preserve">s </w:t>
      </w:r>
      <w:r w:rsidRPr="00E53977">
        <w:t>are not trained properly and mistakes in procedure m</w:t>
      </w:r>
      <w:r w:rsidR="00127003" w:rsidRPr="00E53977">
        <w:t>ight</w:t>
      </w:r>
      <w:r w:rsidRPr="00E53977">
        <w:t xml:space="preserve"> overstate negative results. Therefore, sampling procedures should be made clear and understandable for FBOs and inspectors. Training on proper sample-taking procedures should be provided to inspectors together with representatives of FBOs.</w:t>
      </w:r>
    </w:p>
    <w:p w14:paraId="45C662D3" w14:textId="163C4E0C" w:rsidR="00B9071F" w:rsidRPr="00E53977" w:rsidRDefault="00B9071F" w:rsidP="002771FB">
      <w:pPr>
        <w:widowControl w:val="0"/>
        <w:spacing w:line="240" w:lineRule="auto"/>
      </w:pPr>
      <w:r w:rsidRPr="00E53977">
        <w:t xml:space="preserve">Furthermore, responding to a shortage for qualified technical laboratory staff, GAC recommended the development of a 6-month vocational training program for potential laboratory technicians to be recruited by the public and private sector. As </w:t>
      </w:r>
      <w:r w:rsidR="00BE11A2" w:rsidRPr="00E53977">
        <w:t xml:space="preserve">a result, </w:t>
      </w:r>
      <w:r w:rsidRPr="00E53977">
        <w:t>the Laboratory Association</w:t>
      </w:r>
      <w:r w:rsidR="00BE11A2" w:rsidRPr="00E53977">
        <w:t xml:space="preserve"> developed a rapid training program in new methods</w:t>
      </w:r>
      <w:r w:rsidRPr="00E53977">
        <w:t>. The capacity of the Laboratory Association should be used more in the capacity building of the laboratory staff.</w:t>
      </w:r>
    </w:p>
    <w:p w14:paraId="66CA0B4C" w14:textId="03E12AE9" w:rsidR="00B9071F" w:rsidRPr="00E53977" w:rsidRDefault="00B9071F" w:rsidP="002771FB">
      <w:pPr>
        <w:widowControl w:val="0"/>
        <w:spacing w:line="240" w:lineRule="auto"/>
      </w:pPr>
      <w:r w:rsidRPr="00E53977">
        <w:t xml:space="preserve">The Laboratory of MoA (LMA) received accreditation from GAC in 2017 and invested in new methodologies to prepare for upcoming regulatory requirements. As </w:t>
      </w:r>
      <w:r w:rsidR="00ED7449" w:rsidRPr="00E53977">
        <w:t>indicated in prior reports</w:t>
      </w:r>
      <w:r w:rsidRPr="00E53977">
        <w:t xml:space="preserve">, </w:t>
      </w:r>
      <w:r w:rsidRPr="00E53977">
        <w:rPr>
          <w:rFonts w:eastAsia="Times New Roman" w:cs="Arial"/>
          <w:szCs w:val="20"/>
          <w:lang w:eastAsia="en-GB"/>
        </w:rPr>
        <w:t xml:space="preserve">the </w:t>
      </w:r>
      <w:r w:rsidRPr="00E53977">
        <w:t xml:space="preserve">LMA </w:t>
      </w:r>
      <w:r w:rsidR="00ED7449" w:rsidRPr="00E53977">
        <w:t>focuses</w:t>
      </w:r>
      <w:r w:rsidRPr="00E53977">
        <w:t xml:space="preserve"> on providing </w:t>
      </w:r>
      <w:r w:rsidR="00ED7449" w:rsidRPr="00E53977">
        <w:t>services</w:t>
      </w:r>
      <w:r w:rsidRPr="00E53977">
        <w:t xml:space="preserve"> not provided by private laboratories. Within the LMA, all methods introduced are based on EU regulations/standards. Conforming with GAC regulations, the LMA consistently conducts proficiency tests and offers private laboratories the opportunity for capacity building by sharing of experience about new methods introduced.</w:t>
      </w:r>
    </w:p>
    <w:p w14:paraId="702049DC" w14:textId="36A709F9" w:rsidR="00B9071F" w:rsidRPr="00E53977" w:rsidRDefault="00B9071F" w:rsidP="002771FB">
      <w:pPr>
        <w:widowControl w:val="0"/>
        <w:spacing w:line="240" w:lineRule="auto"/>
      </w:pPr>
      <w:r w:rsidRPr="00E53977">
        <w:t xml:space="preserve">As </w:t>
      </w:r>
      <w:r w:rsidR="00F468E0" w:rsidRPr="00E53977">
        <w:t>indicated in prior reports</w:t>
      </w:r>
      <w:r w:rsidRPr="00E53977">
        <w:t xml:space="preserve">, private laboratories claimed the </w:t>
      </w:r>
      <w:r w:rsidR="00EB6F95" w:rsidRPr="00E53977">
        <w:t>p</w:t>
      </w:r>
      <w:r w:rsidRPr="00E53977">
        <w:t xml:space="preserve">ublic </w:t>
      </w:r>
      <w:r w:rsidR="00EB6F95" w:rsidRPr="00E53977">
        <w:t>laboratories</w:t>
      </w:r>
      <w:r w:rsidRPr="00E53977">
        <w:t xml:space="preserve">’ participation in NFA tenders represents unfair competition. </w:t>
      </w:r>
      <w:r w:rsidR="00EB6F95" w:rsidRPr="00E53977">
        <w:t>However, t</w:t>
      </w:r>
      <w:r w:rsidRPr="00E53977">
        <w:t xml:space="preserve">he NFA </w:t>
      </w:r>
      <w:r w:rsidR="00EB6F95" w:rsidRPr="00E53977">
        <w:t>reported</w:t>
      </w:r>
      <w:r w:rsidRPr="00E53977">
        <w:t xml:space="preserve"> there are several methodologies </w:t>
      </w:r>
      <w:r w:rsidR="00EB6F95" w:rsidRPr="00E53977">
        <w:t>only provided by</w:t>
      </w:r>
      <w:r w:rsidRPr="00E53977">
        <w:t xml:space="preserve"> public </w:t>
      </w:r>
      <w:r w:rsidR="00AD34CE" w:rsidRPr="00E53977">
        <w:t xml:space="preserve">laboratories </w:t>
      </w:r>
      <w:r w:rsidRPr="00E53977">
        <w:t xml:space="preserve">(e.g., veterinary pathogens </w:t>
      </w:r>
      <w:r w:rsidR="00EB6F95" w:rsidRPr="00E53977">
        <w:t>testing</w:t>
      </w:r>
      <w:r w:rsidR="00B119A9" w:rsidRPr="00E53977">
        <w:t>,</w:t>
      </w:r>
      <w:r w:rsidR="00EB6F95" w:rsidRPr="00E53977">
        <w:t xml:space="preserve"> </w:t>
      </w:r>
      <w:r w:rsidRPr="00E53977">
        <w:t xml:space="preserve">etc.) and private </w:t>
      </w:r>
      <w:r w:rsidR="00AD34CE" w:rsidRPr="00E53977">
        <w:t xml:space="preserve">laboratories </w:t>
      </w:r>
      <w:r w:rsidRPr="00E53977">
        <w:t xml:space="preserve">sometimes do not participate in tenders </w:t>
      </w:r>
      <w:r w:rsidR="00B119A9" w:rsidRPr="00E53977">
        <w:t>due to size limitations</w:t>
      </w:r>
      <w:r w:rsidRPr="00E53977">
        <w:t>.</w:t>
      </w:r>
    </w:p>
    <w:p w14:paraId="22C265D7" w14:textId="59597066" w:rsidR="00B9071F" w:rsidRPr="00E53977" w:rsidRDefault="00B9071F" w:rsidP="002771FB">
      <w:pPr>
        <w:widowControl w:val="0"/>
        <w:spacing w:line="240" w:lineRule="auto"/>
      </w:pPr>
      <w:r w:rsidRPr="00E53977">
        <w:t xml:space="preserve">From 2015 to 2017, </w:t>
      </w:r>
      <w:r w:rsidR="00A80465" w:rsidRPr="00E53977">
        <w:t xml:space="preserve">based on </w:t>
      </w:r>
      <w:r w:rsidRPr="00E53977">
        <w:t>NFA tender</w:t>
      </w:r>
      <w:r w:rsidR="00A80465" w:rsidRPr="00E53977">
        <w:t xml:space="preserve"> document</w:t>
      </w:r>
      <w:r w:rsidRPr="00E53977">
        <w:t>s, the revenues generated by private laboratories increased by a compound annual growth rate of 39.4% (from GEL 395,525 to GEL 768,623) for an absolute increase of 94.3% while the revenues generated by public laboratories actually decreased by 54.3% annually (from GEL 183,750 to GEL 38,355) for an absolute decrease of 79.9%. For these tenders, the percentage of NFA tenders that were awarded to private laboratories were 68.3%, 90.2% and 95.2% for 2015, 2016, and 2017, respectively.</w:t>
      </w:r>
      <w:r w:rsidR="00B119A9" w:rsidRPr="00E53977">
        <w:rPr>
          <w:rStyle w:val="FootnoteReference"/>
        </w:rPr>
        <w:t xml:space="preserve"> </w:t>
      </w:r>
      <w:r w:rsidR="00B119A9" w:rsidRPr="00E53977">
        <w:rPr>
          <w:rStyle w:val="FootnoteReference"/>
        </w:rPr>
        <w:footnoteReference w:id="10"/>
      </w:r>
    </w:p>
    <w:p w14:paraId="39D9443C" w14:textId="7F83E37C" w:rsidR="00B4377E" w:rsidRDefault="00B9071F" w:rsidP="002771FB">
      <w:pPr>
        <w:widowControl w:val="0"/>
        <w:spacing w:line="240" w:lineRule="auto"/>
      </w:pPr>
      <w:r w:rsidRPr="00E53977">
        <w:t xml:space="preserve">The total value of the NFA tenders that the private laboratories currently do not have the capacity to provide services for or didn’t not participate was GEL 1,100,580 in 2017. If the </w:t>
      </w:r>
      <w:r w:rsidRPr="00E53977">
        <w:lastRenderedPageBreak/>
        <w:t xml:space="preserve">private laboratories can increase their capacity, then they can satisfy the technical laboratory methodology requirements of these NFA tenders on a competitive basis. More importantly, given the new compliance, inspection, and sampling requirements that will come into force in 2020 (as can be seen from the enforcement dates in </w:t>
      </w:r>
      <w:r w:rsidR="00CB26B3" w:rsidRPr="00E53977">
        <w:t>Annex</w:t>
      </w:r>
      <w:r w:rsidRPr="00E53977">
        <w:t xml:space="preserve"> 1), private laboratories that develop their institutional capacities soon will be better positioned to provide services for both the public and private sectors.</w:t>
      </w:r>
    </w:p>
    <w:p w14:paraId="01BB0FED" w14:textId="77777777" w:rsidR="00FF6A08" w:rsidRPr="00E53977" w:rsidRDefault="00FF6A08" w:rsidP="002771FB">
      <w:pPr>
        <w:widowControl w:val="0"/>
        <w:spacing w:line="240" w:lineRule="auto"/>
        <w:rPr>
          <w:rFonts w:eastAsiaTheme="majorEastAsia" w:cstheme="minorHAnsi"/>
          <w:b/>
          <w:caps/>
          <w:color w:val="0070C0"/>
          <w:sz w:val="28"/>
          <w:szCs w:val="32"/>
        </w:rPr>
      </w:pPr>
    </w:p>
    <w:p w14:paraId="1DFB2E5A" w14:textId="0FFEB7AE" w:rsidR="00B9071F" w:rsidRPr="00E53977" w:rsidRDefault="00B9071F" w:rsidP="002771FB">
      <w:pPr>
        <w:pStyle w:val="Heading1"/>
        <w:widowControl w:val="0"/>
        <w:spacing w:line="240" w:lineRule="auto"/>
      </w:pPr>
      <w:bookmarkStart w:id="32" w:name="_Toc520906371"/>
      <w:r w:rsidRPr="00E53977">
        <w:t>MONITORING AND CONTROL ACTIVITIES</w:t>
      </w:r>
      <w:bookmarkEnd w:id="32"/>
    </w:p>
    <w:p w14:paraId="482E0112" w14:textId="7E90C8FC" w:rsidR="00B9071F" w:rsidRPr="00E53977" w:rsidRDefault="00251415" w:rsidP="002771FB">
      <w:pPr>
        <w:pStyle w:val="Heading2"/>
        <w:widowControl w:val="0"/>
        <w:numPr>
          <w:ilvl w:val="0"/>
          <w:numId w:val="40"/>
        </w:numPr>
        <w:ind w:left="360"/>
      </w:pPr>
      <w:bookmarkStart w:id="33" w:name="_Toc520906372"/>
      <w:r w:rsidRPr="00E53977">
        <w:t>Food Safety</w:t>
      </w:r>
      <w:bookmarkEnd w:id="33"/>
    </w:p>
    <w:p w14:paraId="5B4F71CB" w14:textId="1DFF1D4C" w:rsidR="008311FC" w:rsidRPr="00E53977" w:rsidRDefault="00B9071F" w:rsidP="002771FB">
      <w:pPr>
        <w:widowControl w:val="0"/>
        <w:spacing w:line="240" w:lineRule="auto"/>
        <w:rPr>
          <w:rFonts w:cs="Times New Roman"/>
          <w:szCs w:val="24"/>
        </w:rPr>
        <w:sectPr w:rsidR="008311FC" w:rsidRPr="00E53977" w:rsidSect="005D5D3A">
          <w:footerReference w:type="default" r:id="rId14"/>
          <w:footerReference w:type="first" r:id="rId15"/>
          <w:pgSz w:w="11906" w:h="16838" w:code="9"/>
          <w:pgMar w:top="1440" w:right="1440" w:bottom="1440" w:left="1440" w:header="720" w:footer="720" w:gutter="0"/>
          <w:pgNumType w:start="1"/>
          <w:cols w:space="720"/>
          <w:titlePg/>
          <w:docGrid w:linePitch="360"/>
        </w:sectPr>
      </w:pPr>
      <w:r w:rsidRPr="00E53977">
        <w:rPr>
          <w:rFonts w:cs="Times New Roman"/>
          <w:szCs w:val="24"/>
        </w:rPr>
        <w:t>In 2017, the NFA’s Food Safety Department consisted of 96 food inspectors (</w:t>
      </w:r>
      <w:r w:rsidR="00D15E4D" w:rsidRPr="00E53977">
        <w:rPr>
          <w:rFonts w:cs="Times New Roman"/>
          <w:szCs w:val="24"/>
        </w:rPr>
        <w:t xml:space="preserve">a decrease of </w:t>
      </w:r>
      <w:r w:rsidRPr="00E53977">
        <w:rPr>
          <w:rFonts w:cs="Times New Roman"/>
          <w:szCs w:val="24"/>
        </w:rPr>
        <w:t xml:space="preserve">4 inspectors </w:t>
      </w:r>
      <w:r w:rsidR="00D15E4D" w:rsidRPr="00E53977">
        <w:rPr>
          <w:rFonts w:cs="Times New Roman"/>
          <w:szCs w:val="24"/>
        </w:rPr>
        <w:t xml:space="preserve">compared to </w:t>
      </w:r>
      <w:r w:rsidRPr="00E53977">
        <w:rPr>
          <w:rFonts w:cs="Times New Roman"/>
          <w:szCs w:val="24"/>
        </w:rPr>
        <w:t>2016) exercising 5 types of official control</w:t>
      </w:r>
      <w:r w:rsidR="00D15E4D" w:rsidRPr="00E53977">
        <w:rPr>
          <w:rFonts w:cs="Times New Roman"/>
          <w:szCs w:val="24"/>
        </w:rPr>
        <w:t>:</w:t>
      </w:r>
      <w:r w:rsidR="00BF63AB" w:rsidRPr="00E53977">
        <w:rPr>
          <w:rFonts w:cs="Times New Roman"/>
          <w:szCs w:val="24"/>
        </w:rPr>
        <w:t xml:space="preserve"> </w:t>
      </w:r>
      <w:r w:rsidR="00C555EA" w:rsidRPr="00E53977">
        <w:rPr>
          <w:rFonts w:cs="Times New Roman"/>
          <w:szCs w:val="24"/>
        </w:rPr>
        <w:t xml:space="preserve">Inspection, Documentary </w:t>
      </w:r>
      <w:r w:rsidR="007801DF" w:rsidRPr="00E53977">
        <w:rPr>
          <w:rFonts w:cs="Times New Roman"/>
          <w:szCs w:val="24"/>
        </w:rPr>
        <w:t>C</w:t>
      </w:r>
      <w:r w:rsidR="00C555EA" w:rsidRPr="00E53977">
        <w:rPr>
          <w:rFonts w:cs="Times New Roman"/>
          <w:szCs w:val="24"/>
        </w:rPr>
        <w:t>heck</w:t>
      </w:r>
      <w:r w:rsidR="007801DF" w:rsidRPr="00E53977">
        <w:rPr>
          <w:rFonts w:cs="Times New Roman"/>
          <w:szCs w:val="24"/>
        </w:rPr>
        <w:t>s</w:t>
      </w:r>
      <w:r w:rsidR="00C555EA" w:rsidRPr="00E53977">
        <w:rPr>
          <w:rFonts w:cs="Times New Roman"/>
          <w:szCs w:val="24"/>
        </w:rPr>
        <w:t>, Monitoring, Sampling</w:t>
      </w:r>
      <w:r w:rsidR="007801DF" w:rsidRPr="00E53977">
        <w:rPr>
          <w:rFonts w:cs="Times New Roman"/>
          <w:szCs w:val="24"/>
        </w:rPr>
        <w:t>,</w:t>
      </w:r>
      <w:r w:rsidR="00C555EA" w:rsidRPr="00E53977">
        <w:rPr>
          <w:rFonts w:cs="Times New Roman"/>
          <w:szCs w:val="24"/>
        </w:rPr>
        <w:t xml:space="preserve"> and Surveillance.</w:t>
      </w:r>
    </w:p>
    <w:p w14:paraId="27EBE93B" w14:textId="19E9C70F" w:rsidR="00B9071F" w:rsidRPr="00E53977" w:rsidRDefault="00B9071F" w:rsidP="002771FB">
      <w:pPr>
        <w:widowControl w:val="0"/>
        <w:spacing w:line="240" w:lineRule="auto"/>
        <w:rPr>
          <w:rFonts w:cs="Times New Roman"/>
          <w:szCs w:val="24"/>
        </w:rPr>
        <w:sectPr w:rsidR="00B9071F" w:rsidRPr="00E53977" w:rsidSect="008311FC">
          <w:type w:val="continuous"/>
          <w:pgSz w:w="11906" w:h="16838" w:code="9"/>
          <w:pgMar w:top="1440" w:right="1440" w:bottom="1440" w:left="1440" w:header="720" w:footer="720" w:gutter="0"/>
          <w:pgNumType w:start="1"/>
          <w:cols w:space="720"/>
          <w:titlePg/>
          <w:docGrid w:linePitch="360"/>
        </w:sectPr>
      </w:pPr>
      <w:r w:rsidRPr="00E53977">
        <w:t>The department has an official control plan, consisting of planned inspections and documentary checks, combined with unplanned inspections and documentary checks. These checks may also be conducted based on the official controls revealing unsatisfactory results, notifications from state authorities</w:t>
      </w:r>
      <w:r w:rsidR="00C92AAF" w:rsidRPr="00E53977">
        <w:t>,</w:t>
      </w:r>
      <w:r w:rsidRPr="00E53977">
        <w:t xml:space="preserve"> or </w:t>
      </w:r>
      <w:r w:rsidR="00C92AAF" w:rsidRPr="00E53977">
        <w:t xml:space="preserve">complaints </w:t>
      </w:r>
      <w:r w:rsidRPr="00E53977">
        <w:t>from consumer</w:t>
      </w:r>
      <w:r w:rsidR="00C92AAF" w:rsidRPr="00E53977">
        <w:t>s</w:t>
      </w:r>
      <w:r w:rsidRPr="00E53977">
        <w:t>.</w:t>
      </w:r>
      <w:r w:rsidR="000F2759" w:rsidRPr="00E53977">
        <w:t xml:space="preserve"> notifications from the EU Rapid Alert System of Food and Feed (RASFF)</w:t>
      </w:r>
      <w:r w:rsidR="00D97389" w:rsidRPr="00E53977">
        <w:t xml:space="preserve">. For example, </w:t>
      </w:r>
      <w:r w:rsidR="000F2759" w:rsidRPr="00E53977">
        <w:t>17 notifications came th</w:t>
      </w:r>
      <w:r w:rsidR="00D97389" w:rsidRPr="00E53977">
        <w:t>rough the RASFF system, which the NFA reported were responded to within the mandated timeframe.</w:t>
      </w:r>
    </w:p>
    <w:p w14:paraId="6586AAB2" w14:textId="1D10B241" w:rsidR="008E3DFE" w:rsidRPr="00E53977" w:rsidRDefault="008E3DFE" w:rsidP="002771FB">
      <w:pPr>
        <w:pStyle w:val="Heading3"/>
      </w:pPr>
      <w:r w:rsidRPr="00E53977">
        <w:t>Risk-Based Inspections and Documentary Checks</w:t>
      </w:r>
    </w:p>
    <w:p w14:paraId="205F402C" w14:textId="4017A0F5" w:rsidR="00B9071F" w:rsidRPr="00E53977" w:rsidRDefault="00B9071F" w:rsidP="002771FB">
      <w:pPr>
        <w:widowControl w:val="0"/>
        <w:spacing w:line="240" w:lineRule="auto"/>
      </w:pPr>
      <w:r w:rsidRPr="00E53977">
        <w:t>According to the annual plan for official food safety controls, the department implemented a risk-based inspection and documentary check of FBOs by 11 Regional Offices (ROs) using its risk assessment software. In 2016, technological limitations prevented the NFA from rolling out the control plan development and reporting to all the ROs, except the Tbilisi RO. After receiving technological upgrades, 5 ROs (Shida Kartli, Kvemo Kartli, Kakheti, Mtskheta-Mtianeti, and Samtskhe-Javakheti) began managing their respective regional control plans in 2017. The remaining ROs in West Georgia will get technological upgrades in 2018, with all ROs having respective control plans by early 2019.</w:t>
      </w:r>
    </w:p>
    <w:p w14:paraId="4C76F217" w14:textId="7BD20D84" w:rsidR="00B9071F" w:rsidRPr="00E53977" w:rsidRDefault="00B9071F" w:rsidP="002771FB">
      <w:pPr>
        <w:widowControl w:val="0"/>
        <w:spacing w:line="240" w:lineRule="auto"/>
      </w:pPr>
      <w:r w:rsidRPr="00E53977">
        <w:t>As mentioned previously, it is important to note that the risk-based FBO selection software system has improved due to the increase in the quality of the information contained therein, and inspection plans are based solely on confirmed FBOs rather than on companies inaccurately registered as FBOs.</w:t>
      </w:r>
      <w:r w:rsidR="00FE3CA9" w:rsidRPr="00E53977">
        <w:t xml:space="preserve"> A key improvement has been the linkage of t</w:t>
      </w:r>
      <w:r w:rsidRPr="00E53977">
        <w:t xml:space="preserve">he risk-based selection system </w:t>
      </w:r>
      <w:r w:rsidR="00FE3CA9" w:rsidRPr="00E53977">
        <w:t>with</w:t>
      </w:r>
      <w:r w:rsidRPr="00E53977">
        <w:t xml:space="preserve"> the RS’s electronic </w:t>
      </w:r>
      <w:r w:rsidR="00AD389B" w:rsidRPr="00E53977">
        <w:t xml:space="preserve">database </w:t>
      </w:r>
      <w:r w:rsidRPr="00E53977">
        <w:t xml:space="preserve">to increase the data available </w:t>
      </w:r>
      <w:r w:rsidR="00AD389B" w:rsidRPr="00E53977">
        <w:t>to conducted more</w:t>
      </w:r>
      <w:r w:rsidRPr="00E53977">
        <w:t xml:space="preserve"> targeted inspections based on actual products and volumes traded.</w:t>
      </w:r>
    </w:p>
    <w:p w14:paraId="3CD79DC8" w14:textId="047E9700" w:rsidR="009B6EC4" w:rsidRPr="00E53977" w:rsidRDefault="009B6EC4" w:rsidP="002771FB">
      <w:pPr>
        <w:widowControl w:val="0"/>
        <w:spacing w:line="240" w:lineRule="auto"/>
      </w:pPr>
      <w:r w:rsidRPr="00E53977">
        <w:t xml:space="preserve">Specifically, in 2017, 5,693 business operators were assessed according to the risk levels assigned by the NFA’s risk management electronic database. </w:t>
      </w:r>
      <w:r w:rsidR="000E7069" w:rsidRPr="00E53977">
        <w:t>Still, some FBOs were prioritized for ongoing inspection without a precise determination of their risk levels due to “high public interest”</w:t>
      </w:r>
      <w:r w:rsidR="00AF631A" w:rsidRPr="00E53977">
        <w:t>, such as FBOs in the livestock, meat processing, and dairy sectors. Similarly,</w:t>
      </w:r>
      <w:r w:rsidRPr="00E53977">
        <w:t xml:space="preserve"> kindergartens</w:t>
      </w:r>
      <w:r w:rsidR="00AF631A" w:rsidRPr="00E53977">
        <w:t xml:space="preserve">, </w:t>
      </w:r>
      <w:r w:rsidRPr="00E53977">
        <w:t>schools</w:t>
      </w:r>
      <w:r w:rsidR="00AF631A" w:rsidRPr="00E53977">
        <w:t>,</w:t>
      </w:r>
      <w:r w:rsidRPr="00E53977">
        <w:t xml:space="preserve"> and meat </w:t>
      </w:r>
      <w:r w:rsidR="00AF631A" w:rsidRPr="00E53977">
        <w:t>sellers</w:t>
      </w:r>
      <w:r w:rsidRPr="00E53977">
        <w:t xml:space="preserve"> were given a higher priority for </w:t>
      </w:r>
      <w:r w:rsidR="00F545F1" w:rsidRPr="00E53977">
        <w:t>documentary checks</w:t>
      </w:r>
      <w:r w:rsidRPr="00E53977">
        <w:t xml:space="preserve">. </w:t>
      </w:r>
    </w:p>
    <w:p w14:paraId="4247C575" w14:textId="15E74DC2" w:rsidR="00B9071F" w:rsidRPr="00E53977" w:rsidRDefault="00B9071F" w:rsidP="002771FB">
      <w:pPr>
        <w:widowControl w:val="0"/>
        <w:spacing w:line="240" w:lineRule="auto"/>
      </w:pPr>
      <w:r w:rsidRPr="00E53977">
        <w:t>Data on the inspections of business operators subject to acknowledgement were electronically recorded</w:t>
      </w:r>
      <w:r w:rsidR="00B95015" w:rsidRPr="00E53977">
        <w:t>, with</w:t>
      </w:r>
      <w:r w:rsidRPr="00E53977">
        <w:t xml:space="preserve"> 302 applications on acknowledgement filed with the NFA Food Safety Department</w:t>
      </w:r>
      <w:r w:rsidR="00B95015" w:rsidRPr="00E53977">
        <w:t xml:space="preserve"> in 2017</w:t>
      </w:r>
      <w:r w:rsidRPr="00E53977">
        <w:t>. Based on the results of NFA’s unscheduled inspections for these FBOs, full and/or conditional acknowledgement was granted to 292 FBOs.</w:t>
      </w:r>
      <w:r w:rsidR="001D56CA" w:rsidRPr="00E53977">
        <w:t xml:space="preserve"> </w:t>
      </w:r>
      <w:r w:rsidR="008E3DFE" w:rsidRPr="00E53977">
        <w:t>Additionally, t</w:t>
      </w:r>
      <w:r w:rsidRPr="00E53977">
        <w:t>he NFA Food Safety Department granted 1,622 hygiene certificates, 935 veterinary certificates, 28 compliance assessment certificates and 22 acknowledgement certificates</w:t>
      </w:r>
      <w:r w:rsidR="008E3DFE" w:rsidRPr="00E53977">
        <w:t xml:space="preserve"> in 2017</w:t>
      </w:r>
      <w:r w:rsidRPr="00E53977">
        <w:t>.</w:t>
      </w:r>
    </w:p>
    <w:p w14:paraId="566EEE9F" w14:textId="7F864B10" w:rsidR="00B9071F" w:rsidRPr="00E53977" w:rsidRDefault="00DB1F86" w:rsidP="002771FB">
      <w:pPr>
        <w:pStyle w:val="Heading3"/>
      </w:pPr>
      <w:r w:rsidRPr="00E53977">
        <w:lastRenderedPageBreak/>
        <w:t>Results of Inspection and Control Activities</w:t>
      </w:r>
      <w:r w:rsidR="001748EE" w:rsidRPr="00E53977">
        <w:rPr>
          <w:rStyle w:val="FootnoteReference"/>
        </w:rPr>
        <w:footnoteReference w:id="11"/>
      </w:r>
    </w:p>
    <w:p w14:paraId="5801A6EE" w14:textId="3EA6A9A5" w:rsidR="00805D02" w:rsidRPr="00E53977" w:rsidRDefault="00174E37" w:rsidP="002771FB">
      <w:pPr>
        <w:widowControl w:val="0"/>
      </w:pPr>
      <w:r w:rsidRPr="00E53977">
        <w:rPr>
          <w:b/>
        </w:rPr>
        <w:t>Inspections</w:t>
      </w:r>
      <w:r w:rsidR="00DA7538" w:rsidRPr="00E53977">
        <w:rPr>
          <w:b/>
        </w:rPr>
        <w:t xml:space="preserve">: </w:t>
      </w:r>
      <w:r w:rsidR="001D56CA" w:rsidRPr="00E53977">
        <w:t>T</w:t>
      </w:r>
      <w:r w:rsidR="00E253E3" w:rsidRPr="00E53977">
        <w:t>he NFA’s Food Safety Department conducted 10,127 inspections in total.</w:t>
      </w:r>
      <w:r w:rsidR="0028462B" w:rsidRPr="00E53977">
        <w:t xml:space="preserve"> This represents a decrease in the number of scheduled inspection decreased by 17.8% from 2016 to 2017; however, the number of unscheduled inspections increased by 75.9% since 2016.</w:t>
      </w:r>
      <w:r w:rsidR="00805D02" w:rsidRPr="00E53977">
        <w:t xml:space="preserve"> It is possible that this may indicate the NFA has focused its resources on critical inspections instead or routine work. However, the number of both scheduled and unscheduled inspections remains quite low considering the large number of FBOs to be inspected.</w:t>
      </w:r>
    </w:p>
    <w:p w14:paraId="74D3650A" w14:textId="311B9F08" w:rsidR="00B44C4E" w:rsidRPr="00E53977" w:rsidRDefault="00B44C4E" w:rsidP="002771FB">
      <w:pPr>
        <w:widowControl w:val="0"/>
        <w:spacing w:line="240" w:lineRule="auto"/>
      </w:pPr>
      <w:r w:rsidRPr="00E53977">
        <w:t xml:space="preserve">Of these, 1,015 FBOs (10.0%) were fined for non-compliance and violations identified during the inspection process, </w:t>
      </w:r>
      <w:r w:rsidR="00854CDD" w:rsidRPr="00E53977">
        <w:t>of which</w:t>
      </w:r>
      <w:r w:rsidRPr="00E53977">
        <w:t xml:space="preserve"> 539</w:t>
      </w:r>
      <w:r w:rsidRPr="00E53977">
        <w:rPr>
          <w:b/>
        </w:rPr>
        <w:t xml:space="preserve"> </w:t>
      </w:r>
      <w:r w:rsidRPr="00E53977">
        <w:t xml:space="preserve">FBOs (5.3%) were not </w:t>
      </w:r>
      <w:r w:rsidR="00854CDD" w:rsidRPr="00E53977">
        <w:t xml:space="preserve">forced to cease operations </w:t>
      </w:r>
      <w:r w:rsidRPr="00E53977">
        <w:t>due to critical non-compliances.</w:t>
      </w:r>
      <w:r w:rsidR="00AB6B2F" w:rsidRPr="00E53977">
        <w:t xml:space="preserve"> </w:t>
      </w:r>
    </w:p>
    <w:p w14:paraId="0C6AFD01" w14:textId="44C0F5BE" w:rsidR="00B9071F" w:rsidRPr="00E53977" w:rsidRDefault="00B9071F" w:rsidP="002771FB">
      <w:pPr>
        <w:widowControl w:val="0"/>
        <w:spacing w:line="240" w:lineRule="auto"/>
      </w:pPr>
      <w:r w:rsidRPr="00E53977">
        <w:rPr>
          <w:rFonts w:cs="Times New Roman"/>
          <w:b/>
          <w:bCs/>
          <w:szCs w:val="24"/>
        </w:rPr>
        <w:t>Documentary Inspection</w:t>
      </w:r>
      <w:r w:rsidR="00DA7538" w:rsidRPr="00E53977">
        <w:rPr>
          <w:rFonts w:cs="Times New Roman"/>
          <w:b/>
          <w:bCs/>
          <w:szCs w:val="24"/>
        </w:rPr>
        <w:t xml:space="preserve">: </w:t>
      </w:r>
      <w:r w:rsidRPr="00E53977">
        <w:t>Throughout 2017, 8,438</w:t>
      </w:r>
      <w:r w:rsidRPr="00E53977">
        <w:rPr>
          <w:b/>
        </w:rPr>
        <w:t xml:space="preserve"> </w:t>
      </w:r>
      <w:r w:rsidRPr="00E53977">
        <w:t xml:space="preserve">documentary inspections (a decrease of 8.7% compared to 2016) were carried out in public catering </w:t>
      </w:r>
      <w:r w:rsidR="00EB6E66" w:rsidRPr="00E53977">
        <w:t xml:space="preserve">facilities </w:t>
      </w:r>
      <w:r w:rsidRPr="00E53977">
        <w:t>(</w:t>
      </w:r>
      <w:r w:rsidR="00EB6E66" w:rsidRPr="00E53977">
        <w:t xml:space="preserve">e.g., </w:t>
      </w:r>
      <w:r w:rsidRPr="00E53977">
        <w:t>restaurant</w:t>
      </w:r>
      <w:r w:rsidR="001748EE" w:rsidRPr="00E53977">
        <w:t>s</w:t>
      </w:r>
      <w:r w:rsidRPr="00E53977">
        <w:t>, ready to eat meals, shawarma point</w:t>
      </w:r>
      <w:r w:rsidR="001748EE" w:rsidRPr="00E53977">
        <w:t>s</w:t>
      </w:r>
      <w:r w:rsidRPr="00E53977">
        <w:t xml:space="preserve">, fast food), as well as in kindergarten kitchens and school </w:t>
      </w:r>
      <w:r w:rsidR="001748EE" w:rsidRPr="00E53977">
        <w:t>cafeteria</w:t>
      </w:r>
      <w:r w:rsidRPr="00E53977">
        <w:t>, grocery stores and supermarkets, meat sale points, and at FBOs manufacturing food products. 1,400 FBOs were fined for non-compliance and violations identified during the documentary inspection and supervision process. Similarly, 2,415 FBOs were fined for non-compliance and violations identified during food safety inspections. This included fines for 343 FBOs that were operating but were not registered and 22 FBOs that conducted activities without acknowledgment from the NFA.</w:t>
      </w:r>
      <w:r w:rsidR="00D415ED" w:rsidRPr="00E53977">
        <w:rPr>
          <w:rStyle w:val="FootnoteReference"/>
        </w:rPr>
        <w:footnoteReference w:id="12"/>
      </w:r>
    </w:p>
    <w:p w14:paraId="54E63A26" w14:textId="12CFE638" w:rsidR="00B9071F" w:rsidRPr="00E53977" w:rsidRDefault="00B9071F" w:rsidP="002771FB">
      <w:pPr>
        <w:widowControl w:val="0"/>
        <w:spacing w:line="240" w:lineRule="auto"/>
        <w:rPr>
          <w:bCs/>
          <w:iCs/>
          <w:color w:val="000000"/>
        </w:rPr>
      </w:pPr>
      <w:r w:rsidRPr="00E53977">
        <w:rPr>
          <w:rFonts w:cs="Times New Roman"/>
          <w:b/>
          <w:bCs/>
          <w:szCs w:val="24"/>
        </w:rPr>
        <w:t>Monitoring and Sampling</w:t>
      </w:r>
      <w:r w:rsidR="00EB146C" w:rsidRPr="00E53977">
        <w:rPr>
          <w:rFonts w:cs="Times New Roman"/>
          <w:b/>
          <w:bCs/>
          <w:szCs w:val="24"/>
        </w:rPr>
        <w:t xml:space="preserve">: </w:t>
      </w:r>
      <w:r w:rsidRPr="00E53977">
        <w:t xml:space="preserve">Since the NFA’s monitoring processes are conducted </w:t>
      </w:r>
      <w:r w:rsidR="00A778B8" w:rsidRPr="00E53977">
        <w:t xml:space="preserve">by </w:t>
      </w:r>
      <w:r w:rsidRPr="00E53977">
        <w:t xml:space="preserve">taking samples, the monitoring and sampling processes are conducted simultaneously. In 2017, </w:t>
      </w:r>
      <w:r w:rsidRPr="00E53977">
        <w:rPr>
          <w:rFonts w:eastAsia="Sylfaen"/>
        </w:rPr>
        <w:t>4,761</w:t>
      </w:r>
      <w:r w:rsidRPr="00E53977">
        <w:rPr>
          <w:rFonts w:eastAsia="Sylfaen"/>
          <w:b/>
        </w:rPr>
        <w:t xml:space="preserve"> </w:t>
      </w:r>
      <w:r w:rsidRPr="00E53977">
        <w:rPr>
          <w:rFonts w:eastAsia="Sylfaen"/>
        </w:rPr>
        <w:t xml:space="preserve">samples in total were evaluated as a result of laboratory examination of the samples taken within monitoring; violations were detected in </w:t>
      </w:r>
      <w:r w:rsidRPr="00E53977">
        <w:rPr>
          <w:bCs/>
          <w:iCs/>
          <w:color w:val="000000"/>
        </w:rPr>
        <w:t>811 (17%) samples.</w:t>
      </w:r>
    </w:p>
    <w:p w14:paraId="28019F7A" w14:textId="30AEAC56" w:rsidR="00A778B8" w:rsidRPr="00E53977" w:rsidRDefault="00A778B8" w:rsidP="002771FB">
      <w:pPr>
        <w:widowControl w:val="0"/>
        <w:spacing w:line="240" w:lineRule="auto"/>
      </w:pPr>
      <w:r w:rsidRPr="00E53977">
        <w:t>The monitoring activities of the NFA’s Food Safety Department were modified in 2017</w:t>
      </w:r>
      <w:r w:rsidR="00FD4050" w:rsidRPr="00E53977">
        <w:t>.</w:t>
      </w:r>
      <w:r w:rsidRPr="00E53977">
        <w:t xml:space="preserve"> One area of concern is that specific testing of </w:t>
      </w:r>
      <w:r w:rsidRPr="00E53977">
        <w:rPr>
          <w:i/>
        </w:rPr>
        <w:t>E. coli</w:t>
      </w:r>
      <w:r w:rsidRPr="00E53977">
        <w:t xml:space="preserve"> 0157 was eliminated from testing. A new category of testing to possibly include </w:t>
      </w:r>
      <w:r w:rsidRPr="00E53977">
        <w:rPr>
          <w:i/>
        </w:rPr>
        <w:t>E. coli</w:t>
      </w:r>
      <w:r w:rsidRPr="00E53977">
        <w:t xml:space="preserve">, is the “Testing of sanitary indicators and conditional pathogens”. The “conditional pathogens” may indicate the presence of microbiological pathogens, like </w:t>
      </w:r>
      <w:r w:rsidRPr="00E53977">
        <w:rPr>
          <w:i/>
        </w:rPr>
        <w:t>E. coli</w:t>
      </w:r>
      <w:r w:rsidRPr="00E53977">
        <w:t xml:space="preserve"> 157, although it is not specifically tested for. Given the high level of violations among samples (45.3% of all samples), the potential for pathogens being included among the “conditional pathogens” increases. Therefore some reduced random sampling of </w:t>
      </w:r>
      <w:r w:rsidRPr="00E53977">
        <w:rPr>
          <w:i/>
        </w:rPr>
        <w:t>E.coli</w:t>
      </w:r>
      <w:r w:rsidRPr="00E53977">
        <w:t xml:space="preserve"> should be included in the NFA monitoring activities.</w:t>
      </w:r>
    </w:p>
    <w:p w14:paraId="5136C625" w14:textId="77777777" w:rsidR="00A778B8" w:rsidRPr="00E53977" w:rsidRDefault="00A778B8" w:rsidP="002771FB">
      <w:pPr>
        <w:widowControl w:val="0"/>
        <w:spacing w:line="240" w:lineRule="auto"/>
      </w:pPr>
      <w:r w:rsidRPr="00E53977">
        <w:t>Two other areas of concern include the testing for veterinary drug residues and other contaminants (1) in food of animal origin, which has decreased, but remains very high at 38.8% and (2) in honey, for which the number of violations in the collected samples increased from 15.6% to 47.3%. The NFA should adapt its monitoring plan and provide support to related FBOs to eliminate these high levels of violations.</w:t>
      </w:r>
    </w:p>
    <w:p w14:paraId="2DEC8759" w14:textId="6F1D7802" w:rsidR="00D6780F" w:rsidRPr="00E53977" w:rsidRDefault="00B9071F" w:rsidP="002771FB">
      <w:pPr>
        <w:widowControl w:val="0"/>
        <w:spacing w:line="240" w:lineRule="auto"/>
      </w:pPr>
      <w:r w:rsidRPr="00E53977">
        <w:rPr>
          <w:b/>
        </w:rPr>
        <w:t>Surveillance (Supervision)</w:t>
      </w:r>
      <w:r w:rsidR="004D1E9C" w:rsidRPr="00E53977">
        <w:rPr>
          <w:b/>
        </w:rPr>
        <w:t xml:space="preserve">: </w:t>
      </w:r>
      <w:r w:rsidR="004D1E9C" w:rsidRPr="00E53977">
        <w:t xml:space="preserve">The NFA supervises </w:t>
      </w:r>
      <w:r w:rsidRPr="00E53977">
        <w:t xml:space="preserve">FBOs’ activities </w:t>
      </w:r>
      <w:r w:rsidR="004D1E9C" w:rsidRPr="00E53977">
        <w:t xml:space="preserve">to </w:t>
      </w:r>
      <w:r w:rsidRPr="00E53977">
        <w:t xml:space="preserve">prevent them from placing </w:t>
      </w:r>
      <w:r w:rsidR="00FD52C3" w:rsidRPr="00E53977">
        <w:t xml:space="preserve">non-compliant </w:t>
      </w:r>
      <w:r w:rsidRPr="00E53977">
        <w:t>food/feed on the market, as well as removing/withdrawing such goods from the market</w:t>
      </w:r>
      <w:r w:rsidR="00FD52C3" w:rsidRPr="00E53977">
        <w:t>, resulting in</w:t>
      </w:r>
      <w:r w:rsidRPr="00E53977">
        <w:t xml:space="preserve"> foods/feeds destruction </w:t>
      </w:r>
      <w:r w:rsidR="00FD52C3" w:rsidRPr="00E53977">
        <w:t>(</w:t>
      </w:r>
      <w:r w:rsidRPr="00E53977">
        <w:rPr>
          <w:rFonts w:eastAsia="Sylfaen_PDF_Subset" w:cs="Sylfaen"/>
        </w:rPr>
        <w:t>706 events in 2017</w:t>
      </w:r>
      <w:r w:rsidR="00FD52C3" w:rsidRPr="00E53977">
        <w:rPr>
          <w:rFonts w:eastAsia="Sylfaen_PDF_Subset" w:cs="Sylfaen"/>
        </w:rPr>
        <w:t>)</w:t>
      </w:r>
      <w:r w:rsidR="00D728CB" w:rsidRPr="00E53977">
        <w:rPr>
          <w:rFonts w:eastAsia="Sylfaen_PDF_Subset" w:cs="Sylfaen"/>
        </w:rPr>
        <w:t>, due to either expiration of the products or non-compliance.</w:t>
      </w:r>
      <w:r w:rsidR="00D728CB" w:rsidRPr="00E53977">
        <w:rPr>
          <w:rFonts w:cs="Sylfaen"/>
        </w:rPr>
        <w:t xml:space="preserve"> I</w:t>
      </w:r>
      <w:r w:rsidRPr="00E53977">
        <w:t>n 2016 the amount was 64,983 kg but in 2017 only 11,472 kg</w:t>
      </w:r>
      <w:r w:rsidR="00D728CB" w:rsidRPr="00E53977">
        <w:t xml:space="preserve"> (a decrease of 82%)</w:t>
      </w:r>
      <w:r w:rsidR="00D6780F" w:rsidRPr="00E53977">
        <w:t xml:space="preserve">. This is a positive development, which may indicate the positive impact of </w:t>
      </w:r>
      <w:bookmarkStart w:id="34" w:name="_Hlk512338447"/>
      <w:r w:rsidRPr="00E53977">
        <w:t>inspections and surveillance</w:t>
      </w:r>
      <w:r w:rsidR="00D6780F" w:rsidRPr="00E53977">
        <w:t xml:space="preserve"> activities</w:t>
      </w:r>
      <w:r w:rsidRPr="00E53977">
        <w:t xml:space="preserve"> in </w:t>
      </w:r>
      <w:r w:rsidR="00D6780F" w:rsidRPr="00E53977">
        <w:t xml:space="preserve">the </w:t>
      </w:r>
      <w:r w:rsidRPr="00E53977">
        <w:t>retail sector</w:t>
      </w:r>
      <w:r w:rsidR="00D6780F" w:rsidRPr="00E53977">
        <w:t xml:space="preserve">. </w:t>
      </w:r>
    </w:p>
    <w:p w14:paraId="2A44C048" w14:textId="5111F7F0" w:rsidR="00B9071F" w:rsidRPr="00E53977" w:rsidRDefault="00D6780F" w:rsidP="002771FB">
      <w:pPr>
        <w:widowControl w:val="0"/>
        <w:spacing w:line="240" w:lineRule="auto"/>
        <w:rPr>
          <w:rFonts w:eastAsia="Sylfaen" w:cs="Sylfaen"/>
          <w:lang w:eastAsia="ka-GE"/>
        </w:rPr>
      </w:pPr>
      <w:r w:rsidRPr="00E53977">
        <w:t xml:space="preserve">However, </w:t>
      </w:r>
      <w:bookmarkEnd w:id="34"/>
      <w:r w:rsidR="00B9071F" w:rsidRPr="00E53977">
        <w:t>the amount of unmarked</w:t>
      </w:r>
      <w:r w:rsidR="00202EF4" w:rsidRPr="00E53977">
        <w:t>, non-compliant</w:t>
      </w:r>
      <w:r w:rsidR="00B9071F" w:rsidRPr="00E53977">
        <w:t xml:space="preserve"> meat</w:t>
      </w:r>
      <w:r w:rsidR="00202EF4" w:rsidRPr="00E53977">
        <w:t xml:space="preserve"> sold</w:t>
      </w:r>
      <w:r w:rsidR="00B9071F" w:rsidRPr="00E53977">
        <w:t xml:space="preserve"> (without </w:t>
      </w:r>
      <w:r w:rsidR="00202EF4" w:rsidRPr="00E53977">
        <w:t xml:space="preserve">a </w:t>
      </w:r>
      <w:r w:rsidR="00B9071F" w:rsidRPr="00E53977">
        <w:t>Form 2</w:t>
      </w:r>
      <w:r w:rsidR="00A342DB" w:rsidRPr="00E53977">
        <w:rPr>
          <w:rStyle w:val="FootnoteReference"/>
        </w:rPr>
        <w:footnoteReference w:id="13"/>
      </w:r>
      <w:r w:rsidR="00B9071F" w:rsidRPr="00E53977">
        <w:t xml:space="preserve">) increased </w:t>
      </w:r>
      <w:r w:rsidR="00B9071F" w:rsidRPr="00E53977">
        <w:lastRenderedPageBreak/>
        <w:t>from 912</w:t>
      </w:r>
      <w:r w:rsidR="00202EF4" w:rsidRPr="00E53977">
        <w:t xml:space="preserve"> </w:t>
      </w:r>
      <w:r w:rsidR="00B9071F" w:rsidRPr="00E53977">
        <w:t>kg in 2016 to 4,748 kg in 2017</w:t>
      </w:r>
      <w:r w:rsidR="00202EF4" w:rsidRPr="00E53977">
        <w:t xml:space="preserve"> (an increase of 421%)</w:t>
      </w:r>
      <w:r w:rsidR="00B9071F" w:rsidRPr="00E53977">
        <w:t xml:space="preserve">, </w:t>
      </w:r>
      <w:r w:rsidR="00202EF4" w:rsidRPr="00E53977">
        <w:t xml:space="preserve">highlighting the </w:t>
      </w:r>
      <w:r w:rsidR="00B9071F" w:rsidRPr="00E53977">
        <w:t xml:space="preserve">need for </w:t>
      </w:r>
      <w:r w:rsidR="007A3357" w:rsidRPr="00E53977">
        <w:t xml:space="preserve">increased </w:t>
      </w:r>
      <w:r w:rsidR="00B9071F" w:rsidRPr="00E53977">
        <w:t xml:space="preserve">inspections and surveillance at meat sales </w:t>
      </w:r>
      <w:r w:rsidR="00B826BB" w:rsidRPr="00E53977">
        <w:t>locations</w:t>
      </w:r>
      <w:r w:rsidR="00B9071F" w:rsidRPr="00E53977">
        <w:t>.</w:t>
      </w:r>
    </w:p>
    <w:p w14:paraId="2A915370" w14:textId="0D4B7FBF" w:rsidR="00B9071F" w:rsidRPr="00E53977" w:rsidRDefault="00251415" w:rsidP="002771FB">
      <w:pPr>
        <w:pStyle w:val="Heading2"/>
        <w:widowControl w:val="0"/>
      </w:pPr>
      <w:bookmarkStart w:id="35" w:name="_Toc520906373"/>
      <w:r w:rsidRPr="00E53977">
        <w:t>Animal Health</w:t>
      </w:r>
      <w:bookmarkEnd w:id="35"/>
      <w:r w:rsidRPr="00E53977">
        <w:t xml:space="preserve"> </w:t>
      </w:r>
    </w:p>
    <w:p w14:paraId="243ABBE4" w14:textId="4F1CF738" w:rsidR="00B9071F" w:rsidRPr="00E53977" w:rsidRDefault="00B9071F" w:rsidP="002771FB">
      <w:pPr>
        <w:widowControl w:val="0"/>
        <w:spacing w:line="240" w:lineRule="auto"/>
        <w:rPr>
          <w:rFonts w:cs="Times New Roman"/>
          <w:szCs w:val="24"/>
        </w:rPr>
      </w:pPr>
      <w:r w:rsidRPr="00E53977">
        <w:rPr>
          <w:rFonts w:cs="Times New Roman"/>
          <w:szCs w:val="24"/>
        </w:rPr>
        <w:t>The NFA Veterinary Department maintains operations within 12 regions and 65 districts of Georgia</w:t>
      </w:r>
      <w:r w:rsidR="00745D01" w:rsidRPr="00E53977">
        <w:rPr>
          <w:rFonts w:cs="Times New Roman"/>
          <w:szCs w:val="24"/>
        </w:rPr>
        <w:t xml:space="preserve"> and was </w:t>
      </w:r>
      <w:r w:rsidRPr="00E53977">
        <w:rPr>
          <w:rFonts w:cs="Times New Roman"/>
          <w:szCs w:val="24"/>
        </w:rPr>
        <w:t>responsible for the animal health of approximately 1.1 million large ruminants, 1 million small ruminants, 250,000 pigs, and 8.5 million poultry in 2017.</w:t>
      </w:r>
    </w:p>
    <w:p w14:paraId="426B0179" w14:textId="0A6CB287" w:rsidR="001E7E72" w:rsidRPr="00E53977" w:rsidRDefault="001E7E72" w:rsidP="002771FB">
      <w:pPr>
        <w:pStyle w:val="Heading3"/>
      </w:pPr>
      <w:r w:rsidRPr="00E53977">
        <w:t xml:space="preserve">Results of </w:t>
      </w:r>
      <w:r w:rsidR="00DB1F86" w:rsidRPr="00E53977">
        <w:t xml:space="preserve">Inspection and Control </w:t>
      </w:r>
      <w:r w:rsidRPr="00E53977">
        <w:t>Activities</w:t>
      </w:r>
    </w:p>
    <w:p w14:paraId="5F4B8E3B" w14:textId="14384EC2" w:rsidR="00166B16" w:rsidRPr="00E53977" w:rsidRDefault="00063445" w:rsidP="002771FB">
      <w:pPr>
        <w:widowControl w:val="0"/>
        <w:spacing w:line="240" w:lineRule="auto"/>
        <w:rPr>
          <w:lang w:eastAsia="ka-GE"/>
        </w:rPr>
      </w:pPr>
      <w:r w:rsidRPr="00E53977">
        <w:rPr>
          <w:lang w:eastAsia="ka-GE"/>
        </w:rPr>
        <w:t>According to</w:t>
      </w:r>
      <w:r w:rsidR="00BF7D4F" w:rsidRPr="00E53977">
        <w:rPr>
          <w:lang w:eastAsia="ka-GE"/>
        </w:rPr>
        <w:t xml:space="preserve"> the NFA’s</w:t>
      </w:r>
      <w:r w:rsidRPr="00E53977">
        <w:rPr>
          <w:lang w:eastAsia="ka-GE"/>
        </w:rPr>
        <w:t xml:space="preserve"> </w:t>
      </w:r>
      <w:r w:rsidR="009A6981" w:rsidRPr="00E53977">
        <w:rPr>
          <w:lang w:eastAsia="ka-GE"/>
        </w:rPr>
        <w:t>electronic</w:t>
      </w:r>
      <w:r w:rsidRPr="00E53977">
        <w:rPr>
          <w:lang w:eastAsia="ka-GE"/>
        </w:rPr>
        <w:t xml:space="preserve"> d</w:t>
      </w:r>
      <w:r w:rsidR="00B9071F" w:rsidRPr="00E53977">
        <w:rPr>
          <w:lang w:eastAsia="ka-GE"/>
        </w:rPr>
        <w:t>ata</w:t>
      </w:r>
      <w:r w:rsidR="00BF7D4F" w:rsidRPr="00E53977">
        <w:rPr>
          <w:lang w:eastAsia="ka-GE"/>
        </w:rPr>
        <w:t>base,</w:t>
      </w:r>
      <w:r w:rsidR="009A6981" w:rsidRPr="00E53977">
        <w:rPr>
          <w:lang w:eastAsia="ka-GE"/>
        </w:rPr>
        <w:t xml:space="preserve"> </w:t>
      </w:r>
      <w:r w:rsidR="00B9071F" w:rsidRPr="00E53977">
        <w:rPr>
          <w:lang w:eastAsia="ka-GE"/>
        </w:rPr>
        <w:t>106 animal and 9 poultry slaughterhouses operat</w:t>
      </w:r>
      <w:r w:rsidR="00BF7D4F" w:rsidRPr="00E53977">
        <w:rPr>
          <w:lang w:eastAsia="ka-GE"/>
        </w:rPr>
        <w:t>ed</w:t>
      </w:r>
      <w:r w:rsidR="00B9071F" w:rsidRPr="00E53977">
        <w:rPr>
          <w:lang w:eastAsia="ka-GE"/>
        </w:rPr>
        <w:t xml:space="preserve"> in Georgia</w:t>
      </w:r>
      <w:r w:rsidR="00BF7D4F" w:rsidRPr="00E53977">
        <w:rPr>
          <w:lang w:eastAsia="ka-GE"/>
        </w:rPr>
        <w:t xml:space="preserve"> in 2017, which slaughtered</w:t>
      </w:r>
      <w:r w:rsidR="00B9071F" w:rsidRPr="00E53977">
        <w:rPr>
          <w:lang w:eastAsia="ka-GE"/>
        </w:rPr>
        <w:t xml:space="preserve"> </w:t>
      </w:r>
      <w:r w:rsidR="0073291C" w:rsidRPr="00E53977">
        <w:rPr>
          <w:lang w:eastAsia="ka-GE"/>
        </w:rPr>
        <w:t xml:space="preserve">a </w:t>
      </w:r>
      <w:r w:rsidR="00B9071F" w:rsidRPr="00E53977">
        <w:rPr>
          <w:lang w:eastAsia="ka-GE"/>
        </w:rPr>
        <w:t xml:space="preserve">total </w:t>
      </w:r>
      <w:r w:rsidR="0073291C" w:rsidRPr="00E53977">
        <w:rPr>
          <w:lang w:eastAsia="ka-GE"/>
        </w:rPr>
        <w:t xml:space="preserve">of </w:t>
      </w:r>
      <w:r w:rsidR="00B9071F" w:rsidRPr="00E53977">
        <w:t>698,585 animals (</w:t>
      </w:r>
      <w:r w:rsidR="00B9071F" w:rsidRPr="00E53977">
        <w:rPr>
          <w:lang w:eastAsia="ka-GE"/>
        </w:rPr>
        <w:t xml:space="preserve">204,939 </w:t>
      </w:r>
      <w:r w:rsidR="00B9071F" w:rsidRPr="00E53977">
        <w:t>cattle</w:t>
      </w:r>
      <w:r w:rsidR="00B9071F" w:rsidRPr="00E53977">
        <w:rPr>
          <w:lang w:eastAsia="ka-GE"/>
        </w:rPr>
        <w:t xml:space="preserve">, 364,096 </w:t>
      </w:r>
      <w:r w:rsidR="00B9071F" w:rsidRPr="00E53977">
        <w:t>small ruminants</w:t>
      </w:r>
      <w:r w:rsidR="00B9071F" w:rsidRPr="00E53977">
        <w:rPr>
          <w:lang w:eastAsia="ka-GE"/>
        </w:rPr>
        <w:t xml:space="preserve">, 121,182 pigs, 8,324 rabbits, </w:t>
      </w:r>
      <w:r w:rsidR="0073291C" w:rsidRPr="00E53977">
        <w:rPr>
          <w:lang w:eastAsia="ka-GE"/>
        </w:rPr>
        <w:t xml:space="preserve">and </w:t>
      </w:r>
      <w:r w:rsidR="00B9071F" w:rsidRPr="00E53977">
        <w:rPr>
          <w:lang w:eastAsia="ka-GE"/>
        </w:rPr>
        <w:t>44 horses</w:t>
      </w:r>
      <w:r w:rsidR="0073291C" w:rsidRPr="00E53977">
        <w:rPr>
          <w:lang w:eastAsia="ka-GE"/>
        </w:rPr>
        <w:t>)</w:t>
      </w:r>
      <w:r w:rsidR="00B9071F" w:rsidRPr="00E53977">
        <w:t xml:space="preserve"> and 4,815,089</w:t>
      </w:r>
      <w:r w:rsidR="00B9071F" w:rsidRPr="00E53977">
        <w:rPr>
          <w:lang w:eastAsia="ka-GE"/>
        </w:rPr>
        <w:t xml:space="preserve"> </w:t>
      </w:r>
      <w:r w:rsidR="00B9071F" w:rsidRPr="00E53977">
        <w:t>poultry</w:t>
      </w:r>
      <w:r w:rsidR="0073291C" w:rsidRPr="00E53977">
        <w:rPr>
          <w:lang w:eastAsia="ka-GE"/>
        </w:rPr>
        <w:t xml:space="preserve"> under the NFA’s veterinary control</w:t>
      </w:r>
      <w:r w:rsidR="00B9071F" w:rsidRPr="00E53977">
        <w:t>.</w:t>
      </w:r>
      <w:r w:rsidR="00AB6B2F" w:rsidRPr="00E53977">
        <w:t xml:space="preserve"> </w:t>
      </w:r>
    </w:p>
    <w:p w14:paraId="7C46E940" w14:textId="189A65E2" w:rsidR="00B9071F" w:rsidRPr="00E53977" w:rsidRDefault="00166B16" w:rsidP="002771FB">
      <w:pPr>
        <w:widowControl w:val="0"/>
        <w:spacing w:line="240" w:lineRule="auto"/>
        <w:rPr>
          <w:lang w:eastAsia="ka-GE"/>
        </w:rPr>
      </w:pPr>
      <w:r w:rsidRPr="00E53977">
        <w:t xml:space="preserve">There are still challenges with slaughterhouses and the animal slaughtering process. </w:t>
      </w:r>
      <w:r w:rsidR="007D6A25" w:rsidRPr="00E53977">
        <w:t>As mentioned in a previous section</w:t>
      </w:r>
      <w:r w:rsidRPr="00E53977">
        <w:t xml:space="preserve">, </w:t>
      </w:r>
      <w:r w:rsidR="007D6A25" w:rsidRPr="00E53977">
        <w:t>the</w:t>
      </w:r>
      <w:r w:rsidRPr="00E53977">
        <w:t xml:space="preserve"> practice of </w:t>
      </w:r>
      <w:r w:rsidR="00A342DB" w:rsidRPr="00E53977">
        <w:t xml:space="preserve">meat </w:t>
      </w:r>
      <w:r w:rsidRPr="00E53977">
        <w:t>sales without Form 2</w:t>
      </w:r>
      <w:r w:rsidR="00A342DB" w:rsidRPr="00E53977">
        <w:t xml:space="preserve"> has increased</w:t>
      </w:r>
      <w:r w:rsidRPr="00E53977">
        <w:t xml:space="preserve">. </w:t>
      </w:r>
      <w:r w:rsidR="006A3660" w:rsidRPr="00E53977">
        <w:t>Similarly, the</w:t>
      </w:r>
      <w:r w:rsidRPr="00E53977">
        <w:t xml:space="preserve"> practice of milk refused by registered dairies being sold to unregistered FBOs without any quality or safety</w:t>
      </w:r>
      <w:r w:rsidR="006A3660" w:rsidRPr="00E53977">
        <w:t xml:space="preserve"> </w:t>
      </w:r>
      <w:r w:rsidR="00AB6D09" w:rsidRPr="00E53977">
        <w:t xml:space="preserve">control </w:t>
      </w:r>
      <w:r w:rsidR="006A3660" w:rsidRPr="00E53977">
        <w:t>continues and represents a high-risk to consumers</w:t>
      </w:r>
      <w:r w:rsidRPr="00E53977">
        <w:t xml:space="preserve">. </w:t>
      </w:r>
      <w:r w:rsidR="00A63655" w:rsidRPr="00E53977">
        <w:t>As such</w:t>
      </w:r>
      <w:r w:rsidRPr="00E53977">
        <w:t>, the NFA should apply stricter control over milk, meat, and dairy sales locations, particularly over open markets.</w:t>
      </w:r>
    </w:p>
    <w:p w14:paraId="476F2AC5" w14:textId="63909A74" w:rsidR="00B9071F" w:rsidRPr="00E53977" w:rsidRDefault="00B9071F" w:rsidP="002771FB">
      <w:pPr>
        <w:widowControl w:val="0"/>
        <w:spacing w:line="240" w:lineRule="auto"/>
      </w:pPr>
      <w:r w:rsidRPr="00E53977">
        <w:t xml:space="preserve">To control the quality of veterinary medicines through planned inspections, the NFA collected and tested 227 samples </w:t>
      </w:r>
      <w:r w:rsidR="006A56D7" w:rsidRPr="00E53977">
        <w:t>out of 250</w:t>
      </w:r>
      <w:r w:rsidRPr="00E53977">
        <w:t xml:space="preserve"> FBO facilities</w:t>
      </w:r>
      <w:r w:rsidR="006A56D7" w:rsidRPr="00E53977">
        <w:t xml:space="preserve"> inspected, resulting in </w:t>
      </w:r>
      <w:r w:rsidRPr="00E53977">
        <w:t xml:space="preserve">9 penalties </w:t>
      </w:r>
      <w:r w:rsidR="006A56D7" w:rsidRPr="00E53977">
        <w:t>(4%) applied due to non-compliance.</w:t>
      </w:r>
      <w:r w:rsidRPr="00E53977">
        <w:t xml:space="preserve"> </w:t>
      </w:r>
      <w:r w:rsidR="006A56D7" w:rsidRPr="00E53977">
        <w:t xml:space="preserve">Additionally, </w:t>
      </w:r>
      <w:r w:rsidRPr="00E53977">
        <w:t>the NFA took 775 samples from 320 li</w:t>
      </w:r>
      <w:r w:rsidR="006D39A1" w:rsidRPr="00E53977">
        <w:t>v</w:t>
      </w:r>
      <w:r w:rsidRPr="00E53977">
        <w:t>e animals for laboratory testing to check for residues of veterinary drugs and other contaminations in bio-liquids and tissues of animal origin.</w:t>
      </w:r>
    </w:p>
    <w:p w14:paraId="55D84E99" w14:textId="3ABE22D3" w:rsidR="00D13105" w:rsidRPr="00E53977" w:rsidRDefault="00D13105" w:rsidP="002771FB">
      <w:pPr>
        <w:widowControl w:val="0"/>
        <w:spacing w:line="240" w:lineRule="auto"/>
        <w:rPr>
          <w:b/>
        </w:rPr>
      </w:pPr>
      <w:r w:rsidRPr="00E53977">
        <w:t>The NFA Veterinary Department conducted numerous activities to control animal diseases, including surveillance, sero-surveys, vaccinations, and monitoring the use of insecticides near livestock operations.</w:t>
      </w:r>
      <w:r w:rsidR="006007FA" w:rsidRPr="00E53977">
        <w:rPr>
          <w:vertAlign w:val="superscript"/>
        </w:rPr>
        <w:footnoteReference w:id="14"/>
      </w:r>
      <w:r w:rsidRPr="00E53977">
        <w:t xml:space="preserve"> Key observations include:</w:t>
      </w:r>
    </w:p>
    <w:p w14:paraId="664C2CA1" w14:textId="77777777" w:rsidR="00D13105" w:rsidRPr="00E53977" w:rsidRDefault="00D13105" w:rsidP="002771FB">
      <w:pPr>
        <w:pStyle w:val="List1"/>
      </w:pPr>
      <w:r w:rsidRPr="00E53977">
        <w:t>The NFA has conducted prophylactic vaccinations for anthrax since 2013, reducing the number of occurrences from 40 to only 15 in 2017, with no major outbreaks in 2017;</w:t>
      </w:r>
    </w:p>
    <w:p w14:paraId="13590FA8" w14:textId="77777777" w:rsidR="00D13105" w:rsidRPr="00E53977" w:rsidRDefault="00D13105" w:rsidP="002771FB">
      <w:pPr>
        <w:pStyle w:val="List1"/>
      </w:pPr>
      <w:r w:rsidRPr="00E53977">
        <w:t>Due to the large-scale rabies vaccination program conducted by the NFA that vaccinated over 250,000 dogs and cats since 2014, the number of rabies cases has decreased from 119 in 2014 to 40 (including 9 stray dogs, 6 wild animals, and 12 cattle) in 2017. However, vaccinating stray animals remains a challenge, as municipalities do not have the capacity. This presents an ongoing risk to livestock and humans, which requires the development of a new control plan focused on these target areas.</w:t>
      </w:r>
    </w:p>
    <w:p w14:paraId="5ABA5A79" w14:textId="77777777" w:rsidR="00D13105" w:rsidRPr="00E53977" w:rsidRDefault="00D13105" w:rsidP="002771FB">
      <w:pPr>
        <w:pStyle w:val="List1"/>
      </w:pPr>
      <w:r w:rsidRPr="00E53977">
        <w:t>The NFA has been successful in developing its Foot and Mouth Disease (FMD) control plan. In 2017, NFA was an active participant in the 1</w:t>
      </w:r>
      <w:r w:rsidRPr="00E53977">
        <w:rPr>
          <w:vertAlign w:val="superscript"/>
        </w:rPr>
        <w:t>st</w:t>
      </w:r>
      <w:r w:rsidRPr="00E53977">
        <w:t xml:space="preserve"> West Eurasia FMD Epidemiology and Laboratory Networks. After this active participation, the EU has confirmed that Georgia has completed Stage 2 of the Progressive Control Pathway (PCP) by developing and efficiently implementing an aggressive strategy to eliminate FMD. The NFA expects to apply for PCP Stage 3 approval in 2018, which would be the first step to apply for official OIE status as “FMD free WITH vaccination”.</w:t>
      </w:r>
    </w:p>
    <w:p w14:paraId="3A2DC7DF" w14:textId="77777777" w:rsidR="00D13105" w:rsidRPr="00E53977" w:rsidRDefault="00D13105" w:rsidP="002771FB">
      <w:pPr>
        <w:pStyle w:val="List1"/>
        <w:rPr>
          <w:b/>
        </w:rPr>
      </w:pPr>
      <w:r w:rsidRPr="00E53977">
        <w:t>The NFS’s brucellosis surveillance and control program, implemented by FAO, continued testing of 4,688 cattle in 2017. The large ruminants tested indicated an average of a 2% infestation level at the animal level, 5% at the farm level, and 50% at the village level.</w:t>
      </w:r>
    </w:p>
    <w:p w14:paraId="09598FC8" w14:textId="77777777" w:rsidR="00D13105" w:rsidRPr="00E53977" w:rsidRDefault="00D13105" w:rsidP="002771FB">
      <w:pPr>
        <w:pStyle w:val="List1"/>
      </w:pPr>
      <w:r w:rsidRPr="00E53977">
        <w:t xml:space="preserve">In the spring of 2017, the NFA conducted a series of workshops for farmers, private </w:t>
      </w:r>
      <w:r w:rsidRPr="00E53977">
        <w:lastRenderedPageBreak/>
        <w:t>veterinarians and other stakeholders on the African Swine Fever (ASF) and Classical Swine Fever (CSF) in Kakheti, resulting in no ASF or CSF epidemics in 2017.</w:t>
      </w:r>
    </w:p>
    <w:p w14:paraId="4BED8FFF" w14:textId="77777777" w:rsidR="00D13105" w:rsidRPr="00E53977" w:rsidRDefault="00D13105" w:rsidP="002771FB">
      <w:pPr>
        <w:pStyle w:val="List1"/>
      </w:pPr>
      <w:r w:rsidRPr="00E53977">
        <w:t xml:space="preserve">Additionally, the FAO program also provided control measures against Sheep and Goat plague (PPR) and nodular dermatitis and distributed educational materials for farmers in both the Georgian and Azeri languages. </w:t>
      </w:r>
    </w:p>
    <w:p w14:paraId="5EA8115A" w14:textId="74381E23" w:rsidR="00F71309" w:rsidRPr="00E53977" w:rsidRDefault="000566CF" w:rsidP="002771FB">
      <w:pPr>
        <w:pStyle w:val="Heading3"/>
      </w:pPr>
      <w:r w:rsidRPr="00E53977">
        <w:t xml:space="preserve">Capacity and </w:t>
      </w:r>
      <w:bookmarkStart w:id="36" w:name="_Hlk513480591"/>
      <w:r w:rsidR="001172A8" w:rsidRPr="00E53977">
        <w:t>Traceability</w:t>
      </w:r>
      <w:r w:rsidR="00F71309" w:rsidRPr="00E53977">
        <w:t xml:space="preserve"> Improvements</w:t>
      </w:r>
    </w:p>
    <w:p w14:paraId="3E10FC6D" w14:textId="6AA9AE97" w:rsidR="00B80B61" w:rsidRPr="00E53977" w:rsidRDefault="00B9071F" w:rsidP="002771FB">
      <w:pPr>
        <w:widowControl w:val="0"/>
        <w:spacing w:line="240" w:lineRule="auto"/>
      </w:pPr>
      <w:r w:rsidRPr="00E53977">
        <w:rPr>
          <w:rFonts w:cs="Times New Roman"/>
          <w:szCs w:val="24"/>
        </w:rPr>
        <w:t>A</w:t>
      </w:r>
      <w:r w:rsidR="00201DB9" w:rsidRPr="00E53977">
        <w:rPr>
          <w:rFonts w:cs="Times New Roman"/>
          <w:szCs w:val="24"/>
        </w:rPr>
        <w:t>s reported in the 2016 assessment, the NFA has developed</w:t>
      </w:r>
      <w:r w:rsidRPr="00E53977">
        <w:rPr>
          <w:rFonts w:cs="Times New Roman"/>
          <w:szCs w:val="24"/>
        </w:rPr>
        <w:t xml:space="preserve"> </w:t>
      </w:r>
      <w:r w:rsidR="00201DB9" w:rsidRPr="00E53977">
        <w:rPr>
          <w:rFonts w:cs="Times New Roman"/>
          <w:szCs w:val="24"/>
        </w:rPr>
        <w:t xml:space="preserve">animal movement veterinary checkpoints, known also as </w:t>
      </w:r>
      <w:r w:rsidR="00201DB9" w:rsidRPr="00E53977">
        <w:t>Veterinary Supervision Points (VSP)</w:t>
      </w:r>
      <w:r w:rsidR="00201DB9" w:rsidRPr="00E53977">
        <w:rPr>
          <w:rFonts w:cs="Times New Roman"/>
          <w:szCs w:val="24"/>
        </w:rPr>
        <w:t xml:space="preserve"> </w:t>
      </w:r>
      <w:r w:rsidRPr="00E53977">
        <w:rPr>
          <w:rFonts w:cs="Times New Roman"/>
          <w:szCs w:val="24"/>
        </w:rPr>
        <w:t>to support animal migration between winter and summer pastures without spreading diseases</w:t>
      </w:r>
      <w:r w:rsidR="00201DB9" w:rsidRPr="00E53977">
        <w:rPr>
          <w:rFonts w:cs="Times New Roman"/>
          <w:szCs w:val="24"/>
        </w:rPr>
        <w:t xml:space="preserve">. </w:t>
      </w:r>
      <w:r w:rsidRPr="00E53977">
        <w:rPr>
          <w:rFonts w:cs="Times New Roman"/>
          <w:szCs w:val="24"/>
        </w:rPr>
        <w:t xml:space="preserve">These VSPs provide animal dipping and spraying, movement control, ear-tag control, as well as increasing public awareness of hygiene standards. </w:t>
      </w:r>
      <w:r w:rsidR="00B80B61" w:rsidRPr="00E53977">
        <w:t xml:space="preserve">Although the NFA had planned to implement 2 additional VSPs in 2017, only 1 was completed. </w:t>
      </w:r>
    </w:p>
    <w:p w14:paraId="4171E9A0" w14:textId="116AC7CB" w:rsidR="00B9071F" w:rsidRPr="00E53977" w:rsidRDefault="006335D9" w:rsidP="002771FB">
      <w:pPr>
        <w:widowControl w:val="0"/>
        <w:spacing w:line="240" w:lineRule="auto"/>
      </w:pPr>
      <w:r w:rsidRPr="00E53977">
        <w:t>A</w:t>
      </w:r>
      <w:r w:rsidR="00182B1D" w:rsidRPr="00E53977">
        <w:t>s reported in 2016, t</w:t>
      </w:r>
      <w:r w:rsidR="00B9071F" w:rsidRPr="00E53977">
        <w:t xml:space="preserve">here is a disagreement between private respondents and the NFA, with respondents </w:t>
      </w:r>
      <w:r w:rsidR="00E50CB0" w:rsidRPr="00E53977">
        <w:t>claim</w:t>
      </w:r>
      <w:r w:rsidR="00182B1D" w:rsidRPr="00E53977">
        <w:t>ing</w:t>
      </w:r>
      <w:r w:rsidR="00E50CB0" w:rsidRPr="00E53977">
        <w:t xml:space="preserve"> that 5 VSPs</w:t>
      </w:r>
      <w:r w:rsidR="00B9071F" w:rsidRPr="00E53977">
        <w:t xml:space="preserve"> is not </w:t>
      </w:r>
      <w:r w:rsidR="00B9071F" w:rsidRPr="00E53977">
        <w:rPr>
          <w:rFonts w:cs="Times New Roman"/>
          <w:szCs w:val="24"/>
        </w:rPr>
        <w:t>sufficient to provide</w:t>
      </w:r>
      <w:r w:rsidR="003D5A08" w:rsidRPr="00E53977">
        <w:rPr>
          <w:rFonts w:cs="Times New Roman"/>
          <w:szCs w:val="24"/>
        </w:rPr>
        <w:t xml:space="preserve"> sufficient</w:t>
      </w:r>
      <w:r w:rsidR="00B9071F" w:rsidRPr="00E53977">
        <w:rPr>
          <w:rFonts w:cs="Times New Roman"/>
          <w:szCs w:val="24"/>
        </w:rPr>
        <w:t xml:space="preserve"> coverage of all animals migrating to seasonal pastures and do not cover all migration routes, particularly for intra-regional migration routes</w:t>
      </w:r>
      <w:r w:rsidR="00B9071F" w:rsidRPr="00E53977">
        <w:t xml:space="preserve">. </w:t>
      </w:r>
      <w:bookmarkEnd w:id="36"/>
    </w:p>
    <w:p w14:paraId="3E253DDA" w14:textId="2D1DF65E" w:rsidR="00F02F0B" w:rsidRPr="00E53977" w:rsidRDefault="006335D9" w:rsidP="002771FB">
      <w:pPr>
        <w:widowControl w:val="0"/>
        <w:spacing w:line="240" w:lineRule="auto"/>
      </w:pPr>
      <w:bookmarkStart w:id="37" w:name="_Hlk513480607"/>
      <w:r w:rsidRPr="00E53977">
        <w:t>Another concern of respondents is that the use of these VSPs is not mandatory, resulting in increased risk to both animal and human health. The NFA did report that it will record animal movements and will not allow uncontrolled movements after the National Animal Identification and Traceability System (NAITS) is introduced.</w:t>
      </w:r>
      <w:r w:rsidR="00F02F0B" w:rsidRPr="00E53977">
        <w:t xml:space="preserve"> </w:t>
      </w:r>
      <w:bookmarkStart w:id="38" w:name="_Hlk513480622"/>
      <w:bookmarkEnd w:id="37"/>
      <w:r w:rsidR="00B9071F" w:rsidRPr="00E53977">
        <w:t xml:space="preserve">The </w:t>
      </w:r>
      <w:r w:rsidR="004E7921" w:rsidRPr="00E53977">
        <w:rPr>
          <w:bCs/>
        </w:rPr>
        <w:t>NAITS,</w:t>
      </w:r>
      <w:r w:rsidR="00B9071F" w:rsidRPr="00E53977">
        <w:rPr>
          <w:bCs/>
        </w:rPr>
        <w:t xml:space="preserve"> implemented by FAO </w:t>
      </w:r>
      <w:r w:rsidR="004E7921" w:rsidRPr="00E53977">
        <w:rPr>
          <w:bCs/>
        </w:rPr>
        <w:t xml:space="preserve">and funded by </w:t>
      </w:r>
      <w:r w:rsidR="00B9071F" w:rsidRPr="00E53977">
        <w:rPr>
          <w:bCs/>
        </w:rPr>
        <w:t>SDC and ADC</w:t>
      </w:r>
      <w:r w:rsidR="004E7921" w:rsidRPr="00E53977">
        <w:t>,</w:t>
      </w:r>
      <w:bookmarkEnd w:id="38"/>
      <w:r w:rsidR="004E7921" w:rsidRPr="00E53977">
        <w:t xml:space="preserve"> </w:t>
      </w:r>
      <w:r w:rsidR="00B9071F" w:rsidRPr="00E53977">
        <w:t>fully commenced in 2017 when Belgium Agro Consulting Group was selected to introduce the Animal Identification and Registration (A I&amp;R) system to Georgia</w:t>
      </w:r>
      <w:r w:rsidR="00F02F0B" w:rsidRPr="00E53977">
        <w:t xml:space="preserve"> and </w:t>
      </w:r>
      <w:r w:rsidR="00B9071F" w:rsidRPr="00E53977">
        <w:t>organize test runs for 2 years</w:t>
      </w:r>
      <w:r w:rsidR="00F02F0B" w:rsidRPr="00E53977">
        <w:t xml:space="preserve"> prior to transferring authority</w:t>
      </w:r>
      <w:r w:rsidR="00B9071F" w:rsidRPr="00E53977">
        <w:t xml:space="preserve"> to </w:t>
      </w:r>
      <w:r w:rsidR="00F02F0B" w:rsidRPr="00E53977">
        <w:t xml:space="preserve">the </w:t>
      </w:r>
      <w:r w:rsidR="00B9071F" w:rsidRPr="00E53977">
        <w:t xml:space="preserve">NFA. </w:t>
      </w:r>
    </w:p>
    <w:p w14:paraId="0AB7001E" w14:textId="77777777" w:rsidR="001172A8" w:rsidRPr="00E53977" w:rsidRDefault="001172A8" w:rsidP="002771FB">
      <w:pPr>
        <w:widowControl w:val="0"/>
        <w:spacing w:line="240" w:lineRule="auto"/>
      </w:pPr>
      <w:r w:rsidRPr="00E53977">
        <w:t>MEPA and the NFA began a farm registration process during vaccination campaigns, and the NFA already has a draft recording system in place, with around 300,000 livestock farmers included. According to the best international practices the system includes a numerical sequence for each farmer that identifies the region, municipality, community (village cluster), and farm. The NAITS project will evaluate the strengths and weaknesses of this approach during the pilot phase in 2018 and adjust the system accordingly.</w:t>
      </w:r>
    </w:p>
    <w:p w14:paraId="285543C5" w14:textId="78781FD8" w:rsidR="00B9071F" w:rsidRPr="00E53977" w:rsidRDefault="002578CA" w:rsidP="002771FB">
      <w:pPr>
        <w:widowControl w:val="0"/>
        <w:spacing w:line="240" w:lineRule="auto"/>
      </w:pPr>
      <w:r w:rsidRPr="00E53977">
        <w:t>The development of this system will be a milestone achieve</w:t>
      </w:r>
      <w:r w:rsidR="000F4197" w:rsidRPr="00E53977">
        <w:t>ment</w:t>
      </w:r>
      <w:r w:rsidRPr="00E53977">
        <w:t xml:space="preserve"> </w:t>
      </w:r>
      <w:r w:rsidR="00E76BBD" w:rsidRPr="00E53977">
        <w:t>upon completion</w:t>
      </w:r>
      <w:r w:rsidRPr="00E53977">
        <w:t xml:space="preserve"> and has already drawn interest from </w:t>
      </w:r>
      <w:r w:rsidR="00B9071F" w:rsidRPr="00E53977">
        <w:t>neighboring countries (e.g., Iran, Armenia, Azerbaijan)</w:t>
      </w:r>
      <w:r w:rsidRPr="00E53977">
        <w:t xml:space="preserve">. In fact, </w:t>
      </w:r>
      <w:r w:rsidR="00B9071F" w:rsidRPr="00E53977">
        <w:t xml:space="preserve">Azerbaijan and Armenia </w:t>
      </w:r>
      <w:r w:rsidR="00EA7FD7" w:rsidRPr="00E53977">
        <w:t xml:space="preserve">have </w:t>
      </w:r>
      <w:r w:rsidR="008D3AE0" w:rsidRPr="00E53977">
        <w:t xml:space="preserve">already </w:t>
      </w:r>
      <w:r w:rsidR="00EA7FD7" w:rsidRPr="00E53977">
        <w:t xml:space="preserve">expressed </w:t>
      </w:r>
      <w:r w:rsidR="00B9071F" w:rsidRPr="00E53977">
        <w:t xml:space="preserve">interested in </w:t>
      </w:r>
      <w:r w:rsidR="00EA7FD7" w:rsidRPr="00E53977">
        <w:t xml:space="preserve">implementing a </w:t>
      </w:r>
      <w:r w:rsidR="008D3AE0" w:rsidRPr="00E53977">
        <w:t>similar system</w:t>
      </w:r>
      <w:r w:rsidR="00EA7FD7" w:rsidRPr="00E53977">
        <w:t>.</w:t>
      </w:r>
    </w:p>
    <w:p w14:paraId="6A15AE03" w14:textId="0945F414" w:rsidR="00B9071F" w:rsidRPr="00E53977" w:rsidRDefault="00EA7FD7" w:rsidP="002771FB">
      <w:pPr>
        <w:widowControl w:val="0"/>
        <w:spacing w:line="240" w:lineRule="auto"/>
      </w:pPr>
      <w:r w:rsidRPr="00E53977">
        <w:t xml:space="preserve">Another key development was the introduction of a </w:t>
      </w:r>
      <w:r w:rsidR="00B9071F" w:rsidRPr="00E53977">
        <w:t xml:space="preserve">flock identification system for sheep/goat registration by providing a unique number to each flock. The traceability system will enable the NFA to fully trace livestock information (i.e., age, owners, vaccinations, treatments, slaughter date, packing, transportation) about the animals slaughtered. </w:t>
      </w:r>
    </w:p>
    <w:p w14:paraId="5FBE3F9E" w14:textId="3C84D244" w:rsidR="00793FBA" w:rsidRPr="00E53977" w:rsidRDefault="00793FBA" w:rsidP="002771FB">
      <w:pPr>
        <w:widowControl w:val="0"/>
        <w:spacing w:line="240" w:lineRule="auto"/>
      </w:pPr>
      <w:r w:rsidRPr="00E53977">
        <w:t xml:space="preserve">However, respondents also cited that pastures and community herds (Nakhiries) must be inventoried to control spreading of animal diseases and overgrazing in villages. </w:t>
      </w:r>
      <w:r w:rsidR="00903A7E" w:rsidRPr="00E53977">
        <w:t>Similarly</w:t>
      </w:r>
      <w:r w:rsidRPr="00E53977">
        <w:t>, the in-barn system should be enforced throughout the country for Georgia to receive third country status from the EU for exporting meat and dairy products to the EU.</w:t>
      </w:r>
    </w:p>
    <w:p w14:paraId="3B5CEDC4" w14:textId="7836793A" w:rsidR="00B9071F" w:rsidRPr="00E53977" w:rsidRDefault="00F3205B" w:rsidP="002771FB">
      <w:pPr>
        <w:widowControl w:val="0"/>
        <w:spacing w:line="240" w:lineRule="auto"/>
      </w:pPr>
      <w:r w:rsidRPr="00E53977">
        <w:t>T</w:t>
      </w:r>
      <w:r w:rsidR="001521BF" w:rsidRPr="00E53977">
        <w:t>he NFA employs or contracts about 650 veterinary specialists of varying qualification, whose average age is 65 years old. Although veterinary medicine became a regulated profession in August 2017, the potential lack of qualified workforce is a significant issue, especially when much of the current workforce will be retiring in the next few years.</w:t>
      </w:r>
      <w:r w:rsidR="00B52557" w:rsidRPr="00E53977">
        <w:t xml:space="preserve"> </w:t>
      </w:r>
      <w:r w:rsidR="00B9071F" w:rsidRPr="00E53977">
        <w:t xml:space="preserve">To </w:t>
      </w:r>
      <w:r w:rsidR="00B52557" w:rsidRPr="00E53977">
        <w:t xml:space="preserve">mitigate </w:t>
      </w:r>
      <w:r w:rsidR="00B9071F" w:rsidRPr="00E53977">
        <w:t>the shortage of technical staff, the NFA should involve all available veterinarians in Georgia within the food safety control system, either through direct employment or contracting.</w:t>
      </w:r>
    </w:p>
    <w:p w14:paraId="511DB279" w14:textId="16B3B59C" w:rsidR="00B9071F" w:rsidRPr="00E53977" w:rsidRDefault="00251415" w:rsidP="002771FB">
      <w:pPr>
        <w:pStyle w:val="Heading2"/>
        <w:widowControl w:val="0"/>
      </w:pPr>
      <w:bookmarkStart w:id="39" w:name="_Toc520906374"/>
      <w:bookmarkStart w:id="40" w:name="_Hlk479619140"/>
      <w:r w:rsidRPr="00E53977">
        <w:lastRenderedPageBreak/>
        <w:t>Plant Health</w:t>
      </w:r>
      <w:bookmarkEnd w:id="39"/>
      <w:r w:rsidRPr="00E53977">
        <w:t xml:space="preserve"> </w:t>
      </w:r>
    </w:p>
    <w:p w14:paraId="55073DDE" w14:textId="5CD5AB37" w:rsidR="00DB7EC0" w:rsidRPr="00E53977" w:rsidRDefault="00B9071F" w:rsidP="002771FB">
      <w:pPr>
        <w:widowControl w:val="0"/>
        <w:spacing w:line="240" w:lineRule="auto"/>
        <w:rPr>
          <w:rFonts w:cs="Times New Roman"/>
          <w:szCs w:val="24"/>
        </w:rPr>
      </w:pPr>
      <w:r w:rsidRPr="00E53977">
        <w:rPr>
          <w:rFonts w:cs="Times New Roman"/>
          <w:szCs w:val="24"/>
        </w:rPr>
        <w:t>The Phytosanitary Department of the NFA consists of 70 phytosanitary specialists and operates within 64 district offices throughout Georgia. At the same time</w:t>
      </w:r>
      <w:r w:rsidR="00C83672" w:rsidRPr="00E53977">
        <w:rPr>
          <w:rFonts w:cs="Times New Roman"/>
          <w:szCs w:val="24"/>
        </w:rPr>
        <w:t>, the</w:t>
      </w:r>
      <w:r w:rsidRPr="00E53977">
        <w:rPr>
          <w:rFonts w:cs="Times New Roman"/>
          <w:szCs w:val="24"/>
        </w:rPr>
        <w:t xml:space="preserve"> RS Customs </w:t>
      </w:r>
      <w:r w:rsidR="00065432" w:rsidRPr="00E53977">
        <w:rPr>
          <w:rFonts w:cs="Times New Roman"/>
          <w:szCs w:val="24"/>
        </w:rPr>
        <w:t>D</w:t>
      </w:r>
      <w:r w:rsidRPr="00E53977">
        <w:rPr>
          <w:rFonts w:cs="Times New Roman"/>
          <w:szCs w:val="24"/>
        </w:rPr>
        <w:t xml:space="preserve">epartment is responsible for the phytosanitary control at the borders of Georgia. </w:t>
      </w:r>
    </w:p>
    <w:p w14:paraId="1E874295" w14:textId="77777777" w:rsidR="00C041B2" w:rsidRPr="00E53977" w:rsidRDefault="00C041B2" w:rsidP="002771FB">
      <w:pPr>
        <w:pStyle w:val="Heading3"/>
      </w:pPr>
      <w:r w:rsidRPr="00E53977">
        <w:t>Results of Inspection and Control Activities</w:t>
      </w:r>
    </w:p>
    <w:p w14:paraId="1363CEAB" w14:textId="4FB9F47D" w:rsidR="00DF358F" w:rsidRPr="00E53977" w:rsidRDefault="002E1C54" w:rsidP="002771FB">
      <w:pPr>
        <w:widowControl w:val="0"/>
        <w:spacing w:line="240" w:lineRule="auto"/>
        <w:rPr>
          <w:rFonts w:cs="Times New Roman"/>
          <w:szCs w:val="24"/>
        </w:rPr>
      </w:pPr>
      <w:r w:rsidRPr="00E53977">
        <w:rPr>
          <w:rFonts w:cs="Times New Roman"/>
          <w:szCs w:val="24"/>
        </w:rPr>
        <w:t>T</w:t>
      </w:r>
      <w:r w:rsidR="00B9071F" w:rsidRPr="00E53977">
        <w:rPr>
          <w:rFonts w:cs="Times New Roman"/>
          <w:szCs w:val="24"/>
        </w:rPr>
        <w:t xml:space="preserve">he NFA </w:t>
      </w:r>
      <w:r w:rsidR="00C416D0" w:rsidRPr="00E53977">
        <w:rPr>
          <w:rFonts w:cs="Times New Roman"/>
          <w:szCs w:val="24"/>
        </w:rPr>
        <w:t>P</w:t>
      </w:r>
      <w:r w:rsidR="00B9071F" w:rsidRPr="00E53977">
        <w:rPr>
          <w:rFonts w:cs="Times New Roman"/>
          <w:szCs w:val="24"/>
        </w:rPr>
        <w:t xml:space="preserve">hytosanitary </w:t>
      </w:r>
      <w:r w:rsidR="00C416D0" w:rsidRPr="00E53977">
        <w:rPr>
          <w:rFonts w:cs="Times New Roman"/>
          <w:szCs w:val="24"/>
        </w:rPr>
        <w:t>Department</w:t>
      </w:r>
      <w:r w:rsidR="00FA0C96" w:rsidRPr="00E53977">
        <w:rPr>
          <w:rFonts w:cs="Times New Roman"/>
          <w:szCs w:val="24"/>
        </w:rPr>
        <w:t>’s key activities include the testing and registration of pesticides</w:t>
      </w:r>
      <w:r w:rsidR="00DF358F" w:rsidRPr="00E53977">
        <w:rPr>
          <w:rFonts w:cs="Times New Roman"/>
          <w:szCs w:val="24"/>
        </w:rPr>
        <w:t xml:space="preserve">, </w:t>
      </w:r>
      <w:r w:rsidR="00FA0C96" w:rsidRPr="00E53977">
        <w:rPr>
          <w:rFonts w:cs="Times New Roman"/>
          <w:szCs w:val="24"/>
        </w:rPr>
        <w:t>maintaining the state register of allowed pesticides</w:t>
      </w:r>
      <w:r w:rsidR="00DF358F" w:rsidRPr="00E53977">
        <w:rPr>
          <w:rFonts w:cs="Times New Roman"/>
          <w:szCs w:val="24"/>
        </w:rPr>
        <w:t xml:space="preserve">, </w:t>
      </w:r>
      <w:r w:rsidR="008812B0" w:rsidRPr="00E53977">
        <w:rPr>
          <w:rFonts w:cs="Times New Roman"/>
          <w:szCs w:val="24"/>
        </w:rPr>
        <w:t>inspect</w:t>
      </w:r>
      <w:r w:rsidR="002A6AEE" w:rsidRPr="00E53977">
        <w:rPr>
          <w:rFonts w:cs="Times New Roman"/>
          <w:szCs w:val="24"/>
        </w:rPr>
        <w:t>ing</w:t>
      </w:r>
      <w:r w:rsidR="008812B0" w:rsidRPr="00E53977">
        <w:rPr>
          <w:rFonts w:cs="Times New Roman"/>
          <w:szCs w:val="24"/>
        </w:rPr>
        <w:t xml:space="preserve"> agro-chemical sales/storage facilities, </w:t>
      </w:r>
      <w:r w:rsidR="00DF358F" w:rsidRPr="00E53977">
        <w:rPr>
          <w:rFonts w:cs="Times New Roman"/>
          <w:szCs w:val="24"/>
        </w:rPr>
        <w:t xml:space="preserve">conducting laboratory samples for the issuance of phytosanitary certificates, </w:t>
      </w:r>
      <w:r w:rsidR="005E1962" w:rsidRPr="00E53977">
        <w:rPr>
          <w:rFonts w:cs="Times New Roman"/>
          <w:szCs w:val="24"/>
        </w:rPr>
        <w:t>pest detection, and pest control programs. Key results of these programs include:</w:t>
      </w:r>
      <w:r w:rsidR="00FA0C96" w:rsidRPr="00E53977">
        <w:rPr>
          <w:rFonts w:cs="Times New Roman"/>
          <w:szCs w:val="24"/>
        </w:rPr>
        <w:t xml:space="preserve"> </w:t>
      </w:r>
    </w:p>
    <w:p w14:paraId="25531102" w14:textId="00357015" w:rsidR="006648C8" w:rsidRPr="00E53977" w:rsidRDefault="00FA0C96" w:rsidP="002771FB">
      <w:pPr>
        <w:pStyle w:val="List1"/>
        <w:rPr>
          <w:bCs/>
        </w:rPr>
      </w:pPr>
      <w:r w:rsidRPr="00E53977">
        <w:t>To align with the EU Regulation 1107/2009, the NFA removed 3 pesticides from the state register. Similarly, 30 were removed due to their registration period expiring, but 171 agro-chemicals were approved by the NFA and added to the state register</w:t>
      </w:r>
      <w:r w:rsidR="006648C8" w:rsidRPr="00E53977">
        <w:t>, resulting in 839 pesticides included in the state register at the end of 2017.</w:t>
      </w:r>
    </w:p>
    <w:p w14:paraId="148EF749" w14:textId="77777777" w:rsidR="00B46A5F" w:rsidRPr="00E53977" w:rsidRDefault="003A3C3D" w:rsidP="002771FB">
      <w:pPr>
        <w:pStyle w:val="List1"/>
        <w:rPr>
          <w:bCs/>
        </w:rPr>
      </w:pPr>
      <w:r w:rsidRPr="00E53977">
        <w:t>T</w:t>
      </w:r>
      <w:r w:rsidR="00FA0C96" w:rsidRPr="00E53977">
        <w:t xml:space="preserve">he NFA renewed the registration of 335 pesticide and agro-chemical sales points, 174 storage facilities, 89 importers, and 13 local producers. </w:t>
      </w:r>
    </w:p>
    <w:p w14:paraId="03BFD730" w14:textId="43B848C9" w:rsidR="00FA0C96" w:rsidRPr="00E53977" w:rsidRDefault="00FA0C96" w:rsidP="002771FB">
      <w:pPr>
        <w:pStyle w:val="List1"/>
        <w:rPr>
          <w:bCs/>
        </w:rPr>
      </w:pPr>
      <w:r w:rsidRPr="00E53977">
        <w:t xml:space="preserve">Similarly, the NFA took 337 samples for laboratory analysis during 140 monitoring inspections of retail sales points, which </w:t>
      </w:r>
      <w:r w:rsidR="00B46A5F" w:rsidRPr="00E53977">
        <w:t>uncovered</w:t>
      </w:r>
      <w:r w:rsidRPr="00E53977">
        <w:t xml:space="preserve"> 41 non-compliances</w:t>
      </w:r>
      <w:r w:rsidRPr="00E53977">
        <w:rPr>
          <w:bCs/>
        </w:rPr>
        <w:t>.</w:t>
      </w:r>
    </w:p>
    <w:p w14:paraId="7B54B035" w14:textId="0BDFF839" w:rsidR="00B9071F" w:rsidRPr="00E53977" w:rsidRDefault="000D7FED" w:rsidP="002771FB">
      <w:pPr>
        <w:pStyle w:val="List1"/>
      </w:pPr>
      <w:r w:rsidRPr="00E53977">
        <w:t xml:space="preserve">The NFA took </w:t>
      </w:r>
      <w:r w:rsidR="00973189" w:rsidRPr="00E53977">
        <w:t>over</w:t>
      </w:r>
      <w:r w:rsidRPr="00E53977">
        <w:t xml:space="preserve"> </w:t>
      </w:r>
      <w:r w:rsidR="00B9071F" w:rsidRPr="00E53977">
        <w:t xml:space="preserve">10,000 samples </w:t>
      </w:r>
      <w:r w:rsidRPr="00E53977">
        <w:t xml:space="preserve">related to the provision of </w:t>
      </w:r>
      <w:r w:rsidR="00B9071F" w:rsidRPr="00E53977">
        <w:t>13,498 phytosanitary certificates to Georgian producers.</w:t>
      </w:r>
    </w:p>
    <w:p w14:paraId="51BF8BEE" w14:textId="179FB4C1" w:rsidR="002B101D" w:rsidRPr="00E53977" w:rsidRDefault="00B46A5F" w:rsidP="002771FB">
      <w:pPr>
        <w:pStyle w:val="List1"/>
      </w:pPr>
      <w:r w:rsidRPr="00E53977">
        <w:t>P</w:t>
      </w:r>
      <w:r w:rsidR="002B101D" w:rsidRPr="00E53977">
        <w:t xml:space="preserve">est protection </w:t>
      </w:r>
      <w:r w:rsidRPr="00E53977">
        <w:t xml:space="preserve">was provided </w:t>
      </w:r>
      <w:r w:rsidR="002B101D" w:rsidRPr="00E53977">
        <w:t>for a total of 128,558 h</w:t>
      </w:r>
      <w:r w:rsidR="008812B0" w:rsidRPr="00E53977">
        <w:t>a</w:t>
      </w:r>
      <w:r w:rsidR="00973189" w:rsidRPr="00E53977">
        <w:t xml:space="preserve"> (</w:t>
      </w:r>
      <w:r w:rsidR="00414C09" w:rsidRPr="00E53977">
        <w:t xml:space="preserve">on 110,000 ha for </w:t>
      </w:r>
      <w:r w:rsidR="00212F77" w:rsidRPr="00E53977">
        <w:t xml:space="preserve">the </w:t>
      </w:r>
      <w:r w:rsidR="002B101D" w:rsidRPr="00E53977">
        <w:t xml:space="preserve">Brown Marmorated Stinking Bug </w:t>
      </w:r>
      <w:r w:rsidR="00414C09" w:rsidRPr="00E53977">
        <w:t>[</w:t>
      </w:r>
      <w:r w:rsidR="002B101D" w:rsidRPr="00E53977">
        <w:t>BMSB</w:t>
      </w:r>
      <w:r w:rsidR="00414C09" w:rsidRPr="00E53977">
        <w:t>]</w:t>
      </w:r>
      <w:r w:rsidR="002B101D" w:rsidRPr="00E53977">
        <w:t xml:space="preserve">, </w:t>
      </w:r>
      <w:r w:rsidR="00414C09" w:rsidRPr="00E53977">
        <w:t xml:space="preserve">on 15,108 ha for </w:t>
      </w:r>
      <w:r w:rsidR="00F95CA6" w:rsidRPr="00E53977">
        <w:t>l</w:t>
      </w:r>
      <w:r w:rsidR="002B101D" w:rsidRPr="00E53977">
        <w:t xml:space="preserve">ocusts and long-tailed bush crickets, </w:t>
      </w:r>
      <w:r w:rsidR="00414C09" w:rsidRPr="00E53977">
        <w:t xml:space="preserve">on 1,050 ha for </w:t>
      </w:r>
      <w:r w:rsidR="00F95CA6" w:rsidRPr="00E53977">
        <w:t xml:space="preserve">the </w:t>
      </w:r>
      <w:r w:rsidR="002B101D" w:rsidRPr="00E53977">
        <w:t xml:space="preserve">American white butterfly, </w:t>
      </w:r>
      <w:r w:rsidR="00414C09" w:rsidRPr="00E53977">
        <w:t xml:space="preserve">on 1,500 ha for </w:t>
      </w:r>
      <w:r w:rsidR="00F95CA6" w:rsidRPr="00E53977">
        <w:t>m</w:t>
      </w:r>
      <w:r w:rsidR="002B101D" w:rsidRPr="00E53977">
        <w:t xml:space="preserve">osquitos, and </w:t>
      </w:r>
      <w:r w:rsidR="00414C09" w:rsidRPr="00E53977">
        <w:t xml:space="preserve">on 900 ha for </w:t>
      </w:r>
      <w:r w:rsidR="00F95CA6" w:rsidRPr="00E53977">
        <w:t>the z</w:t>
      </w:r>
      <w:r w:rsidR="002B101D" w:rsidRPr="00E53977">
        <w:t>oo pyramid moth</w:t>
      </w:r>
      <w:r w:rsidR="00414C09" w:rsidRPr="00E53977">
        <w:t>)</w:t>
      </w:r>
      <w:r w:rsidR="002B101D" w:rsidRPr="00E53977">
        <w:t>.</w:t>
      </w:r>
    </w:p>
    <w:p w14:paraId="078E9DFD" w14:textId="22F21AD2" w:rsidR="00A41953" w:rsidRPr="00E53977" w:rsidRDefault="00062F45" w:rsidP="002771FB">
      <w:pPr>
        <w:pStyle w:val="List1"/>
        <w:rPr>
          <w:rFonts w:cs="Times New Roman"/>
          <w:szCs w:val="24"/>
        </w:rPr>
      </w:pPr>
      <w:r w:rsidRPr="00E53977">
        <w:t>The NFA took</w:t>
      </w:r>
      <w:r w:rsidR="00D000E2" w:rsidRPr="00E53977">
        <w:t xml:space="preserve"> 1,028 samples and detected 59 different pests, bacteria, and </w:t>
      </w:r>
      <w:r w:rsidR="00FA0C96" w:rsidRPr="00E53977">
        <w:t xml:space="preserve">microorganisms that create hazards for plant health. </w:t>
      </w:r>
    </w:p>
    <w:p w14:paraId="0BD2833E" w14:textId="1D5E88AD" w:rsidR="00471404" w:rsidRPr="00E53977" w:rsidRDefault="00471404" w:rsidP="002771FB">
      <w:pPr>
        <w:pStyle w:val="List1"/>
      </w:pPr>
      <w:r w:rsidRPr="00E53977">
        <w:t xml:space="preserve">In 2017, 43,836 text messages from </w:t>
      </w:r>
      <w:r w:rsidR="002E1C54" w:rsidRPr="00E53977">
        <w:t xml:space="preserve">24 meteorological stations in Kakheti (installed in 2014-2016) </w:t>
      </w:r>
      <w:r w:rsidRPr="00E53977">
        <w:t xml:space="preserve">were delivered to 800 farmers, which are used to forecast pest and fungus levels for cereals, grape wine crops, and vegetables crops. </w:t>
      </w:r>
    </w:p>
    <w:p w14:paraId="5A2B8216" w14:textId="77777777" w:rsidR="00A26E5E" w:rsidRPr="00E53977" w:rsidRDefault="00A26E5E" w:rsidP="002771FB">
      <w:pPr>
        <w:pStyle w:val="Heading3"/>
      </w:pPr>
      <w:r w:rsidRPr="00E53977">
        <w:t>Capacity and Traceability Improvements</w:t>
      </w:r>
    </w:p>
    <w:p w14:paraId="3921D4EC" w14:textId="1A2EDA88" w:rsidR="00B9071F" w:rsidRPr="00E53977" w:rsidRDefault="00B9071F" w:rsidP="002771FB">
      <w:pPr>
        <w:widowControl w:val="0"/>
        <w:spacing w:line="240" w:lineRule="auto"/>
        <w:rPr>
          <w:rFonts w:cs="Times New Roman"/>
          <w:szCs w:val="24"/>
        </w:rPr>
      </w:pPr>
      <w:bookmarkStart w:id="41" w:name="_Hlk513481465"/>
      <w:r w:rsidRPr="00E53977">
        <w:rPr>
          <w:rFonts w:cs="Times New Roman"/>
          <w:szCs w:val="24"/>
        </w:rPr>
        <w:t>Within the framework of the Technical Cooperation Program Facility (TCPF) project with FAO, the NFA developed a 5-year strategy based on the IPPC</w:t>
      </w:r>
      <w:r w:rsidR="004B4369" w:rsidRPr="00E53977">
        <w:rPr>
          <w:rFonts w:cs="Times New Roman"/>
          <w:szCs w:val="24"/>
        </w:rPr>
        <w:t>’s</w:t>
      </w:r>
      <w:r w:rsidRPr="00E53977">
        <w:rPr>
          <w:rFonts w:cs="Times New Roman"/>
          <w:szCs w:val="24"/>
        </w:rPr>
        <w:t xml:space="preserve"> Phytosanitary Capacity Evaluation of the </w:t>
      </w:r>
      <w:r w:rsidR="004B4369" w:rsidRPr="00E53977">
        <w:rPr>
          <w:rFonts w:cs="Times New Roman"/>
          <w:szCs w:val="24"/>
        </w:rPr>
        <w:t xml:space="preserve">Georgian </w:t>
      </w:r>
      <w:r w:rsidRPr="00E53977">
        <w:rPr>
          <w:rFonts w:cs="Times New Roman"/>
          <w:szCs w:val="24"/>
        </w:rPr>
        <w:t xml:space="preserve">phytosanitary system. This strategy will be implemented with the support of the </w:t>
      </w:r>
      <w:r w:rsidRPr="00E53977">
        <w:rPr>
          <w:bCs/>
        </w:rPr>
        <w:t xml:space="preserve">Czech Development Agency (CzDA) and </w:t>
      </w:r>
      <w:r w:rsidR="004B4369" w:rsidRPr="00E53977">
        <w:rPr>
          <w:bCs/>
        </w:rPr>
        <w:t xml:space="preserve">an </w:t>
      </w:r>
      <w:r w:rsidRPr="00E53977">
        <w:rPr>
          <w:bCs/>
        </w:rPr>
        <w:t>USAID</w:t>
      </w:r>
      <w:r w:rsidR="004B4369" w:rsidRPr="00E53977">
        <w:rPr>
          <w:bCs/>
        </w:rPr>
        <w:t xml:space="preserve"> </w:t>
      </w:r>
      <w:r w:rsidRPr="00E53977">
        <w:rPr>
          <w:bCs/>
        </w:rPr>
        <w:t>jointly</w:t>
      </w:r>
      <w:r w:rsidR="004B4369" w:rsidRPr="00E53977">
        <w:rPr>
          <w:bCs/>
        </w:rPr>
        <w:t>-</w:t>
      </w:r>
      <w:r w:rsidRPr="00E53977">
        <w:rPr>
          <w:bCs/>
        </w:rPr>
        <w:t>funded project</w:t>
      </w:r>
      <w:r w:rsidR="004B4369" w:rsidRPr="00E53977">
        <w:rPr>
          <w:bCs/>
        </w:rPr>
        <w:t xml:space="preserve"> called “</w:t>
      </w:r>
      <w:r w:rsidRPr="00E53977">
        <w:t>Establishment of National Phytosanitary Control</w:t>
      </w:r>
      <w:r w:rsidR="004B4369" w:rsidRPr="00E53977">
        <w:t>”</w:t>
      </w:r>
      <w:r w:rsidRPr="00E53977">
        <w:t>. The implementing institution is Czech Central Institute for Supervising and Testing in Agriculture (CISTA).</w:t>
      </w:r>
    </w:p>
    <w:bookmarkEnd w:id="40"/>
    <w:bookmarkEnd w:id="41"/>
    <w:p w14:paraId="4008B26C" w14:textId="07233135" w:rsidR="00B9071F" w:rsidRPr="00E53977" w:rsidRDefault="00B9071F" w:rsidP="002771FB">
      <w:pPr>
        <w:widowControl w:val="0"/>
        <w:spacing w:line="240" w:lineRule="auto"/>
        <w:rPr>
          <w:rFonts w:cs="Times New Roman"/>
          <w:szCs w:val="24"/>
        </w:rPr>
      </w:pPr>
      <w:r w:rsidRPr="00E53977">
        <w:t xml:space="preserve">The Czech National Plant Protection Organization “Agriculture and Supervision Institute” supported the monitoring and control of pesticides and fertilizers used by producers of seeds and seedlings. A country wide monitoring system has </w:t>
      </w:r>
      <w:r w:rsidR="00B2173A" w:rsidRPr="00E53977">
        <w:t xml:space="preserve">already </w:t>
      </w:r>
      <w:r w:rsidRPr="00E53977">
        <w:t xml:space="preserve">been introduced with the headquarters based in Abasha. This has improved the quality of seeds and seedlings when they are not over fertilized or weakened by </w:t>
      </w:r>
      <w:r w:rsidR="00557F35" w:rsidRPr="00E53977">
        <w:t>excessive use</w:t>
      </w:r>
      <w:r w:rsidRPr="00E53977">
        <w:t xml:space="preserve"> of pesticides</w:t>
      </w:r>
      <w:r w:rsidR="00557F35" w:rsidRPr="00E53977">
        <w:t>, resulting in stronger and more pest-resistant plants</w:t>
      </w:r>
      <w:r w:rsidRPr="00E53977">
        <w:t xml:space="preserve">. </w:t>
      </w:r>
    </w:p>
    <w:p w14:paraId="505CB65B" w14:textId="766945DA" w:rsidR="00CA7BFC" w:rsidRPr="00E53977" w:rsidRDefault="00B9071F" w:rsidP="002771FB">
      <w:pPr>
        <w:widowControl w:val="0"/>
        <w:spacing w:line="240" w:lineRule="auto"/>
      </w:pPr>
      <w:r w:rsidRPr="00E53977">
        <w:t xml:space="preserve">The highest priority </w:t>
      </w:r>
      <w:r w:rsidR="007F46B3" w:rsidRPr="00E53977">
        <w:t xml:space="preserve">for plant protection activities </w:t>
      </w:r>
      <w:r w:rsidRPr="00E53977">
        <w:t xml:space="preserve">in 2017 </w:t>
      </w:r>
      <w:r w:rsidR="007F46B3" w:rsidRPr="00E53977">
        <w:t>was combatting</w:t>
      </w:r>
      <w:r w:rsidRPr="00E53977">
        <w:t xml:space="preserve"> the BMSB. </w:t>
      </w:r>
      <w:r w:rsidR="002E7053" w:rsidRPr="00E53977">
        <w:t>W</w:t>
      </w:r>
      <w:r w:rsidRPr="00E53977">
        <w:t xml:space="preserve">ith </w:t>
      </w:r>
      <w:r w:rsidR="002E7053" w:rsidRPr="00E53977">
        <w:t xml:space="preserve">the </w:t>
      </w:r>
      <w:r w:rsidRPr="00E53977">
        <w:t xml:space="preserve">support of </w:t>
      </w:r>
      <w:r w:rsidR="002E7053" w:rsidRPr="00E53977">
        <w:t xml:space="preserve">the </w:t>
      </w:r>
      <w:r w:rsidRPr="00E53977">
        <w:t>U</w:t>
      </w:r>
      <w:r w:rsidR="002E7053" w:rsidRPr="00E53977">
        <w:t>S</w:t>
      </w:r>
      <w:r w:rsidRPr="00E53977">
        <w:t>AID REAP-project, USDA, Turin University, Swiss University CABI</w:t>
      </w:r>
      <w:r w:rsidR="002E7053" w:rsidRPr="00E53977">
        <w:t>,</w:t>
      </w:r>
      <w:r w:rsidRPr="00E53977">
        <w:t xml:space="preserve"> and Ferrero S/A</w:t>
      </w:r>
      <w:r w:rsidR="002E7053" w:rsidRPr="00E53977">
        <w:t>, the NFA developed a 4-component integrated pest management action plan</w:t>
      </w:r>
      <w:r w:rsidRPr="00E53977">
        <w:t xml:space="preserve">. </w:t>
      </w:r>
      <w:r w:rsidR="008B18A4" w:rsidRPr="00E53977">
        <w:t xml:space="preserve">Based on this, the NFA drafted a </w:t>
      </w:r>
      <w:r w:rsidRPr="00E53977">
        <w:t xml:space="preserve">five-year strategy (2018-2022) </w:t>
      </w:r>
      <w:r w:rsidR="008B18A4" w:rsidRPr="00E53977">
        <w:t>and submitted it to the GoG for approval to combat the BMSB</w:t>
      </w:r>
      <w:r w:rsidRPr="00E53977">
        <w:t xml:space="preserve">. The main directions of the strategy consist of </w:t>
      </w:r>
      <w:r w:rsidR="00CA7BFC" w:rsidRPr="00E53977">
        <w:t xml:space="preserve">increasing </w:t>
      </w:r>
      <w:r w:rsidR="00CA7BFC" w:rsidRPr="00E53977">
        <w:lastRenderedPageBreak/>
        <w:t xml:space="preserve">awareness among </w:t>
      </w:r>
      <w:r w:rsidRPr="00E53977">
        <w:t>farmer</w:t>
      </w:r>
      <w:r w:rsidR="00CA7BFC" w:rsidRPr="00E53977">
        <w:t>s</w:t>
      </w:r>
      <w:r w:rsidRPr="00E53977">
        <w:t>, implement</w:t>
      </w:r>
      <w:r w:rsidR="00CA7BFC" w:rsidRPr="00E53977">
        <w:t>ing a</w:t>
      </w:r>
      <w:r w:rsidRPr="00E53977">
        <w:t xml:space="preserve"> monitoring system, and chemical and mechanical management of </w:t>
      </w:r>
      <w:r w:rsidR="00CA7BFC" w:rsidRPr="00E53977">
        <w:t xml:space="preserve">the </w:t>
      </w:r>
      <w:r w:rsidRPr="00E53977">
        <w:t xml:space="preserve">BMSB. </w:t>
      </w:r>
    </w:p>
    <w:p w14:paraId="164875F3" w14:textId="6FF1E916" w:rsidR="00B9071F" w:rsidRPr="00E53977" w:rsidRDefault="00B9071F" w:rsidP="002771FB">
      <w:pPr>
        <w:widowControl w:val="0"/>
        <w:spacing w:line="240" w:lineRule="auto"/>
      </w:pPr>
      <w:r w:rsidRPr="00E53977">
        <w:t>The Phytosanitary Department</w:t>
      </w:r>
      <w:r w:rsidR="000D2E30" w:rsidRPr="00E53977">
        <w:t>’s</w:t>
      </w:r>
      <w:r w:rsidRPr="00E53977">
        <w:t xml:space="preserve"> action plan to combat the BMSB from the fall of 2017 throughout 2018 include</w:t>
      </w:r>
      <w:r w:rsidR="000D2E30" w:rsidRPr="00E53977">
        <w:t>d</w:t>
      </w:r>
      <w:r w:rsidRPr="00E53977">
        <w:t xml:space="preserve">: </w:t>
      </w:r>
      <w:r w:rsidR="00B14AB4" w:rsidRPr="00E53977">
        <w:t>(</w:t>
      </w:r>
      <w:r w:rsidRPr="00E53977">
        <w:t xml:space="preserve">1) An information campaign with distribution of 800,000 leaflets, </w:t>
      </w:r>
      <w:r w:rsidR="00B14AB4" w:rsidRPr="00E53977">
        <w:t>(</w:t>
      </w:r>
      <w:r w:rsidRPr="00E53977">
        <w:t>2)</w:t>
      </w:r>
      <w:r w:rsidR="00AB6B2F" w:rsidRPr="00E53977">
        <w:t xml:space="preserve"> </w:t>
      </w:r>
      <w:r w:rsidRPr="00E53977">
        <w:t xml:space="preserve">Monitoring by using pheromones, </w:t>
      </w:r>
      <w:r w:rsidR="00B14AB4" w:rsidRPr="00E53977">
        <w:t>(</w:t>
      </w:r>
      <w:r w:rsidRPr="00E53977">
        <w:t xml:space="preserve">3) Spraying, </w:t>
      </w:r>
      <w:r w:rsidR="00B14AB4" w:rsidRPr="00E53977">
        <w:t>(</w:t>
      </w:r>
      <w:r w:rsidRPr="00E53977">
        <w:t xml:space="preserve">4) Laboratory capacity building and scientific research centers, </w:t>
      </w:r>
      <w:r w:rsidR="00B14AB4" w:rsidRPr="00E53977">
        <w:t>(</w:t>
      </w:r>
      <w:r w:rsidRPr="00E53977">
        <w:t xml:space="preserve">5) Capacity building of state agencies staff and farmers who could do spraying in their own plots, </w:t>
      </w:r>
      <w:r w:rsidR="00B14AB4" w:rsidRPr="00E53977">
        <w:t>(</w:t>
      </w:r>
      <w:r w:rsidRPr="00E53977">
        <w:t xml:space="preserve">6) Installation of 21,000 pheromone traps, </w:t>
      </w:r>
      <w:r w:rsidR="00B14AB4" w:rsidRPr="00E53977">
        <w:t>(</w:t>
      </w:r>
      <w:r w:rsidRPr="00E53977">
        <w:t>7) Provision 230,000 liters of pheromone and 230,000 liters of pesticide distributed among farmers to prepare them for the winter period</w:t>
      </w:r>
      <w:r w:rsidR="000D2E30" w:rsidRPr="00E53977">
        <w:t>.</w:t>
      </w:r>
      <w:r w:rsidR="0038087E" w:rsidRPr="00E53977">
        <w:t xml:space="preserve"> </w:t>
      </w:r>
      <w:r w:rsidR="00B14AB4" w:rsidRPr="00E53977">
        <w:t>A t</w:t>
      </w:r>
      <w:r w:rsidRPr="00E53977">
        <w:t xml:space="preserve">otal </w:t>
      </w:r>
      <w:r w:rsidR="00B14AB4" w:rsidRPr="00E53977">
        <w:t xml:space="preserve">of </w:t>
      </w:r>
      <w:r w:rsidRPr="00E53977">
        <w:t>25,000 pheromone-based traps (single trees and bushes sprayed with pheromones to attract insects to be killed afterwards with pesticides), were prepared in 2017. After evaluating 60 different pesticides based on U.S. experiences, bifenthrin was selected as the best and least harmful for beneficial pests, animals</w:t>
      </w:r>
      <w:r w:rsidR="0038087E" w:rsidRPr="00E53977">
        <w:t>,</w:t>
      </w:r>
      <w:r w:rsidRPr="00E53977">
        <w:t xml:space="preserve"> and humans. </w:t>
      </w:r>
    </w:p>
    <w:p w14:paraId="7FFE343A" w14:textId="0EB236D3" w:rsidR="008C7BE3" w:rsidRPr="00E53977" w:rsidRDefault="002E3560" w:rsidP="002771FB">
      <w:pPr>
        <w:widowControl w:val="0"/>
        <w:spacing w:line="240" w:lineRule="auto"/>
        <w:rPr>
          <w:rFonts w:cs="Times New Roman"/>
          <w:szCs w:val="24"/>
        </w:rPr>
      </w:pPr>
      <w:r w:rsidRPr="00E53977">
        <w:t>Finall</w:t>
      </w:r>
      <w:r w:rsidR="00757894" w:rsidRPr="00E53977">
        <w:t>y</w:t>
      </w:r>
      <w:r w:rsidR="008C7BE3" w:rsidRPr="00E53977">
        <w:t>, the NFA has increased its capacity to deliver spraying services for farmers through the repurposing additional vehicles installed with sprayers, which now total 140 compared to 12 the previous year</w:t>
      </w:r>
    </w:p>
    <w:p w14:paraId="74E1AB43" w14:textId="21E7A1F2" w:rsidR="00B9071F" w:rsidRPr="00E53977" w:rsidRDefault="00251415" w:rsidP="002771FB">
      <w:pPr>
        <w:pStyle w:val="Heading2"/>
        <w:widowControl w:val="0"/>
      </w:pPr>
      <w:bookmarkStart w:id="42" w:name="_Toc520906375"/>
      <w:r w:rsidRPr="00E53977">
        <w:t>Border Inspection</w:t>
      </w:r>
      <w:bookmarkEnd w:id="42"/>
    </w:p>
    <w:p w14:paraId="10742E31" w14:textId="320BBBB0" w:rsidR="00B9071F" w:rsidRPr="00E53977" w:rsidRDefault="00B9071F" w:rsidP="002771FB">
      <w:pPr>
        <w:widowControl w:val="0"/>
        <w:spacing w:line="240" w:lineRule="auto"/>
        <w:rPr>
          <w:rFonts w:cs="Times New Roman"/>
          <w:szCs w:val="24"/>
        </w:rPr>
      </w:pPr>
      <w:r w:rsidRPr="00E53977">
        <w:rPr>
          <w:rFonts w:cs="Times New Roman"/>
          <w:szCs w:val="24"/>
        </w:rPr>
        <w:t xml:space="preserve">The Revenue Service of the Ministry of Finance is responsible for implementing control plans for food safety, plant protection, and animal health at the borders of Georgia, which includes the RS Customs Department conducting documentary checks, physical identification, and sampling with laboratory analyses. Upon completion of these analyses, consignment data is sent real-time to the NFA to alert the need for inspections. </w:t>
      </w:r>
    </w:p>
    <w:p w14:paraId="558A18C8" w14:textId="77777777" w:rsidR="008D1176" w:rsidRPr="00E53977" w:rsidRDefault="008D1176" w:rsidP="002771FB">
      <w:pPr>
        <w:pStyle w:val="Heading3"/>
      </w:pPr>
      <w:r w:rsidRPr="00E53977">
        <w:t>Results of Inspection and Control Activities</w:t>
      </w:r>
    </w:p>
    <w:p w14:paraId="4F576B56" w14:textId="550B671E" w:rsidR="00670488" w:rsidRPr="00E53977" w:rsidRDefault="00E522A9" w:rsidP="002771FB">
      <w:pPr>
        <w:widowControl w:val="0"/>
        <w:spacing w:line="240" w:lineRule="auto"/>
        <w:rPr>
          <w:rFonts w:cs="Times New Roman"/>
          <w:szCs w:val="24"/>
        </w:rPr>
      </w:pPr>
      <w:r w:rsidRPr="00E53977">
        <w:t xml:space="preserve">Together with the NFA, the RS </w:t>
      </w:r>
      <w:r w:rsidRPr="00E53977">
        <w:rPr>
          <w:rFonts w:cs="Times New Roman"/>
          <w:szCs w:val="24"/>
        </w:rPr>
        <w:t>Customs Department</w:t>
      </w:r>
      <w:r w:rsidRPr="00E53977">
        <w:t xml:space="preserve"> implemented an integrated concept on border management called “One Border”, which was based on substantial collaboration with the NFA’s various departments and in conducting joint meetings, working groups, and trainings. </w:t>
      </w:r>
      <w:r w:rsidRPr="00E53977">
        <w:rPr>
          <w:rFonts w:cs="Times New Roman"/>
          <w:szCs w:val="24"/>
        </w:rPr>
        <w:t>The RS a</w:t>
      </w:r>
      <w:r w:rsidR="00B9071F" w:rsidRPr="00E53977">
        <w:rPr>
          <w:rFonts w:cs="Times New Roman"/>
          <w:szCs w:val="24"/>
        </w:rPr>
        <w:t>ctions taken for veterinary and phytosanitary control, as well as GMO sampling, have increased significantly in 2017, representing a positive development, particularly for veterinary and phytosanitary</w:t>
      </w:r>
      <w:r w:rsidRPr="00E53977">
        <w:rPr>
          <w:rFonts w:cs="Times New Roman"/>
          <w:szCs w:val="24"/>
        </w:rPr>
        <w:t xml:space="preserve"> safety</w:t>
      </w:r>
      <w:r w:rsidR="00B9071F" w:rsidRPr="00E53977">
        <w:rPr>
          <w:rFonts w:cs="Times New Roman"/>
          <w:szCs w:val="24"/>
        </w:rPr>
        <w:t xml:space="preserve">. </w:t>
      </w:r>
      <w:r w:rsidR="00670488" w:rsidRPr="00E53977">
        <w:rPr>
          <w:rFonts w:cs="Times New Roman"/>
          <w:szCs w:val="24"/>
        </w:rPr>
        <w:t>Key results of inspection and control activities include:</w:t>
      </w:r>
      <w:r w:rsidR="008A1D34" w:rsidRPr="00E53977">
        <w:rPr>
          <w:rStyle w:val="FootnoteReference"/>
          <w:rFonts w:cs="Times New Roman"/>
          <w:szCs w:val="24"/>
        </w:rPr>
        <w:footnoteReference w:id="15"/>
      </w:r>
    </w:p>
    <w:p w14:paraId="317B711F" w14:textId="3F031188" w:rsidR="00670488" w:rsidRPr="00E53977" w:rsidRDefault="00886937" w:rsidP="002771FB">
      <w:pPr>
        <w:pStyle w:val="List1"/>
      </w:pPr>
      <w:r w:rsidRPr="00E53977">
        <w:t xml:space="preserve">Veterinary and </w:t>
      </w:r>
      <w:r w:rsidRPr="00E53977">
        <w:rPr>
          <w:rFonts w:cs="Times New Roman"/>
          <w:szCs w:val="24"/>
        </w:rPr>
        <w:t xml:space="preserve">phytosanitary </w:t>
      </w:r>
      <w:r w:rsidR="00B9071F" w:rsidRPr="00E53977">
        <w:t xml:space="preserve">control </w:t>
      </w:r>
      <w:r w:rsidRPr="00E53977">
        <w:t xml:space="preserve">actions </w:t>
      </w:r>
      <w:r w:rsidR="00B9071F" w:rsidRPr="00E53977">
        <w:t>increased by 11.1% and 3.3%, respectivel</w:t>
      </w:r>
      <w:r w:rsidRPr="00E53977">
        <w:t>y</w:t>
      </w:r>
      <w:r w:rsidR="00B9071F" w:rsidRPr="00E53977">
        <w:t xml:space="preserve">. </w:t>
      </w:r>
    </w:p>
    <w:p w14:paraId="4EC6BC34" w14:textId="73C45FC7" w:rsidR="00242FAD" w:rsidRPr="00E53977" w:rsidRDefault="00670488" w:rsidP="002771FB">
      <w:pPr>
        <w:pStyle w:val="List1"/>
      </w:pPr>
      <w:r w:rsidRPr="00E53977">
        <w:t>S</w:t>
      </w:r>
      <w:r w:rsidR="00B9071F" w:rsidRPr="00E53977">
        <w:t xml:space="preserve">ampling for </w:t>
      </w:r>
      <w:r w:rsidR="00901A5D" w:rsidRPr="00E53977">
        <w:t>SPS</w:t>
      </w:r>
      <w:r w:rsidR="00B9071F" w:rsidRPr="00E53977">
        <w:t xml:space="preserve"> control increased by 29.6% and 28.0% in </w:t>
      </w:r>
      <w:r w:rsidR="00242FAD" w:rsidRPr="00E53977">
        <w:t xml:space="preserve">respectively, in 2017. </w:t>
      </w:r>
    </w:p>
    <w:p w14:paraId="541CC339" w14:textId="75B4F5C9" w:rsidR="00B9071F" w:rsidRPr="00E53977" w:rsidRDefault="00B9071F" w:rsidP="002771FB">
      <w:pPr>
        <w:pStyle w:val="List1"/>
      </w:pPr>
      <w:r w:rsidRPr="00E53977">
        <w:t>Live and food GMO sampl</w:t>
      </w:r>
      <w:r w:rsidR="00886937" w:rsidRPr="00E53977">
        <w:t>ing</w:t>
      </w:r>
      <w:r w:rsidRPr="00E53977">
        <w:t xml:space="preserve"> increased by 141.0% and 21.9%, respectively.</w:t>
      </w:r>
    </w:p>
    <w:p w14:paraId="68A80EA3" w14:textId="2EB9832E" w:rsidR="00E97050" w:rsidRPr="00E53977" w:rsidRDefault="00E97050" w:rsidP="002771FB">
      <w:pPr>
        <w:pStyle w:val="List1"/>
      </w:pPr>
      <w:r w:rsidRPr="00E53977">
        <w:t>T</w:t>
      </w:r>
      <w:r w:rsidR="00B9071F" w:rsidRPr="00E53977">
        <w:t xml:space="preserve">he number of detected violations for </w:t>
      </w:r>
      <w:r w:rsidR="00901A5D" w:rsidRPr="00E53977">
        <w:t>SPS</w:t>
      </w:r>
      <w:r w:rsidR="00B9071F" w:rsidRPr="00E53977">
        <w:t xml:space="preserve"> and GMO control only increased by 4.6%, 3.3%, and 6.8%, respectively, for the same period. </w:t>
      </w:r>
    </w:p>
    <w:p w14:paraId="31CE43DA" w14:textId="1E6DEA1F" w:rsidR="00E97050" w:rsidRPr="00E53977" w:rsidRDefault="004542AC" w:rsidP="002771FB">
      <w:pPr>
        <w:pStyle w:val="List1"/>
      </w:pPr>
      <w:r w:rsidRPr="00E53977">
        <w:t xml:space="preserve">There was a slight decrease in </w:t>
      </w:r>
      <w:r w:rsidR="00B9071F" w:rsidRPr="00E53977">
        <w:t xml:space="preserve">phytosanitary </w:t>
      </w:r>
      <w:r w:rsidRPr="00E53977">
        <w:t>violations, from</w:t>
      </w:r>
      <w:r w:rsidR="00B9071F" w:rsidRPr="00E53977">
        <w:t xml:space="preserve"> 3.7% to 3.3% of samples. </w:t>
      </w:r>
    </w:p>
    <w:p w14:paraId="1A7485D1" w14:textId="79BB7A5B" w:rsidR="00E97050" w:rsidRPr="00E53977" w:rsidRDefault="00B9071F" w:rsidP="002771FB">
      <w:pPr>
        <w:pStyle w:val="List1"/>
      </w:pPr>
      <w:r w:rsidRPr="00E53977">
        <w:t xml:space="preserve">GMO samples with violations decreased from 7.1% to 6.8%. </w:t>
      </w:r>
    </w:p>
    <w:p w14:paraId="5601448B" w14:textId="35B418D6" w:rsidR="00B9071F" w:rsidRPr="00E53977" w:rsidRDefault="00E97050" w:rsidP="002771FB">
      <w:pPr>
        <w:pStyle w:val="List1"/>
      </w:pPr>
      <w:r w:rsidRPr="00E53977">
        <w:t>V</w:t>
      </w:r>
      <w:r w:rsidR="00B9071F" w:rsidRPr="00E53977">
        <w:t xml:space="preserve">eterinary samples taken that detected violations decreased from 5.8% to 4.6%. </w:t>
      </w:r>
    </w:p>
    <w:p w14:paraId="0BF5D559" w14:textId="29461C1F" w:rsidR="00B9071F" w:rsidRPr="00E53977" w:rsidRDefault="00FE2833" w:rsidP="002771FB">
      <w:pPr>
        <w:widowControl w:val="0"/>
        <w:spacing w:line="240" w:lineRule="auto"/>
      </w:pPr>
      <w:r w:rsidRPr="00E53977">
        <w:t>T</w:t>
      </w:r>
      <w:r w:rsidR="00B9071F" w:rsidRPr="00E53977">
        <w:t xml:space="preserve">he RS </w:t>
      </w:r>
      <w:r w:rsidR="00B9071F" w:rsidRPr="00E53977">
        <w:rPr>
          <w:rFonts w:cs="Times New Roman"/>
          <w:szCs w:val="24"/>
        </w:rPr>
        <w:t>Customs Department</w:t>
      </w:r>
      <w:r w:rsidR="00B9071F" w:rsidRPr="00E53977">
        <w:t xml:space="preserve"> identifies and performs documentary checks on 100% of all shipments arriving in Georgia. For traceability concerns, the RS </w:t>
      </w:r>
      <w:r w:rsidRPr="00E53977">
        <w:t>can</w:t>
      </w:r>
      <w:r w:rsidR="00B9071F" w:rsidRPr="00E53977">
        <w:t xml:space="preserve"> trace imported food items to their source and within Georgia as all transfers and sales of goods are reported to the RS.</w:t>
      </w:r>
    </w:p>
    <w:p w14:paraId="19B1D280" w14:textId="77777777" w:rsidR="000C738A" w:rsidRPr="00E53977" w:rsidRDefault="000C738A" w:rsidP="002771FB">
      <w:pPr>
        <w:pStyle w:val="Heading3"/>
      </w:pPr>
      <w:r w:rsidRPr="00E53977">
        <w:t>Capacity and Traceability Improvements</w:t>
      </w:r>
    </w:p>
    <w:p w14:paraId="71067C1D" w14:textId="3BF4F704" w:rsidR="00B9071F" w:rsidRPr="00E53977" w:rsidRDefault="00B9071F" w:rsidP="002771FB">
      <w:pPr>
        <w:widowControl w:val="0"/>
        <w:spacing w:line="240" w:lineRule="auto"/>
      </w:pPr>
      <w:r w:rsidRPr="00E53977">
        <w:t>In 2017, the RS Customs Department adopted the HS Nomenclature 2017 edition, which is the nomenclature established under the International Convention on the Harmonized Commodity Description and Coding System</w:t>
      </w:r>
      <w:r w:rsidR="00E635AF" w:rsidRPr="00E53977">
        <w:t>,</w:t>
      </w:r>
      <w:r w:rsidR="00BF63AB" w:rsidRPr="00E53977">
        <w:t xml:space="preserve"> </w:t>
      </w:r>
      <w:r w:rsidR="00E635AF" w:rsidRPr="00E53977">
        <w:t>which further aligns</w:t>
      </w:r>
      <w:r w:rsidRPr="00E53977">
        <w:t xml:space="preserve"> Georgia’s </w:t>
      </w:r>
      <w:r w:rsidR="00E635AF" w:rsidRPr="00E53977">
        <w:t>systems</w:t>
      </w:r>
      <w:r w:rsidRPr="00E53977">
        <w:t xml:space="preserve"> with </w:t>
      </w:r>
      <w:r w:rsidR="00E635AF" w:rsidRPr="00E53977">
        <w:t xml:space="preserve">those of </w:t>
      </w:r>
      <w:r w:rsidRPr="00E53977">
        <w:t xml:space="preserve">the EU. </w:t>
      </w:r>
      <w:r w:rsidRPr="00E53977">
        <w:lastRenderedPageBreak/>
        <w:t>Th</w:t>
      </w:r>
      <w:r w:rsidR="00BB2896" w:rsidRPr="00E53977">
        <w:t>is is expected to facilitate</w:t>
      </w:r>
      <w:r w:rsidR="00BF63AB" w:rsidRPr="00E53977">
        <w:t xml:space="preserve"> </w:t>
      </w:r>
      <w:r w:rsidR="00BB2896" w:rsidRPr="00E53977">
        <w:t>improvements for the RS’s</w:t>
      </w:r>
      <w:r w:rsidRPr="00E53977">
        <w:t xml:space="preserve"> Annual Control Plan, the Controlled Item List, and harmonized fee structure to match the EU’s SPS border controls. </w:t>
      </w:r>
      <w:r w:rsidR="00BB2896" w:rsidRPr="00E53977">
        <w:t xml:space="preserve">Future assessments will need to review </w:t>
      </w:r>
      <w:r w:rsidR="006C5A60" w:rsidRPr="00E53977">
        <w:t>implementation to confirm the efficacy of new control plan activities and compliance with EU systems.</w:t>
      </w:r>
    </w:p>
    <w:p w14:paraId="0DB3C939" w14:textId="6DCA6349" w:rsidR="00B9071F" w:rsidRPr="00E53977" w:rsidRDefault="00B9071F" w:rsidP="002771FB">
      <w:pPr>
        <w:widowControl w:val="0"/>
        <w:spacing w:line="240" w:lineRule="auto"/>
      </w:pPr>
      <w:r w:rsidRPr="00E53977">
        <w:rPr>
          <w:szCs w:val="24"/>
          <w:lang w:eastAsia="ru-RU"/>
        </w:rPr>
        <w:t>In 2017, the NFA facilitated two roundtables with the participation from the representatives of the Food Safety Department of the NFA and the Customs Administration of the RS</w:t>
      </w:r>
      <w:r w:rsidR="00FD6510" w:rsidRPr="00E53977">
        <w:rPr>
          <w:szCs w:val="24"/>
          <w:lang w:eastAsia="ru-RU"/>
        </w:rPr>
        <w:t xml:space="preserve">, addressing issues related to </w:t>
      </w:r>
      <w:r w:rsidRPr="00E53977">
        <w:rPr>
          <w:lang w:eastAsia="ru-RU"/>
        </w:rPr>
        <w:t xml:space="preserve">the implementation and enforcement of the requirements in the Governmental Decree </w:t>
      </w:r>
      <w:r w:rsidR="00FD6510" w:rsidRPr="00E53977">
        <w:rPr>
          <w:lang w:eastAsia="ru-RU"/>
        </w:rPr>
        <w:t xml:space="preserve">No. </w:t>
      </w:r>
      <w:r w:rsidRPr="00E53977">
        <w:rPr>
          <w:lang w:eastAsia="ru-RU"/>
        </w:rPr>
        <w:t xml:space="preserve">567 on </w:t>
      </w:r>
      <w:r w:rsidR="00FD6510" w:rsidRPr="00E53977">
        <w:rPr>
          <w:lang w:eastAsia="ru-RU"/>
        </w:rPr>
        <w:t>“</w:t>
      </w:r>
      <w:r w:rsidRPr="00E53977">
        <w:rPr>
          <w:lang w:eastAsia="ru-RU"/>
        </w:rPr>
        <w:t>Border Control Regulation of Non-animal Origin Food/Feed</w:t>
      </w:r>
      <w:r w:rsidR="00FD6510" w:rsidRPr="00E53977">
        <w:rPr>
          <w:lang w:eastAsia="ru-RU"/>
        </w:rPr>
        <w:t>”</w:t>
      </w:r>
      <w:r w:rsidRPr="00E53977">
        <w:rPr>
          <w:lang w:eastAsia="ru-RU"/>
        </w:rPr>
        <w:t xml:space="preserve">. Participants developed and agreed on control procedures of non-animal food/feed, prepared drafts for a food/feed monitoring plan criteria, and </w:t>
      </w:r>
      <w:r w:rsidR="00FD6510" w:rsidRPr="00E53977">
        <w:rPr>
          <w:lang w:eastAsia="ru-RU"/>
        </w:rPr>
        <w:t>established</w:t>
      </w:r>
      <w:r w:rsidR="00B56B1D" w:rsidRPr="00E53977">
        <w:rPr>
          <w:lang w:eastAsia="ru-RU"/>
        </w:rPr>
        <w:t xml:space="preserve"> regular</w:t>
      </w:r>
      <w:r w:rsidRPr="00E53977">
        <w:rPr>
          <w:lang w:eastAsia="ru-RU"/>
        </w:rPr>
        <w:t xml:space="preserve"> coordination meetings to avoid contradictions </w:t>
      </w:r>
      <w:r w:rsidR="00B56B1D" w:rsidRPr="00E53977">
        <w:rPr>
          <w:lang w:eastAsia="ru-RU"/>
        </w:rPr>
        <w:t>between the</w:t>
      </w:r>
      <w:r w:rsidRPr="00E53977">
        <w:rPr>
          <w:lang w:eastAsia="ru-RU"/>
        </w:rPr>
        <w:t xml:space="preserve"> RS and NFA. </w:t>
      </w:r>
      <w:r w:rsidR="00975A9E" w:rsidRPr="00E53977">
        <w:rPr>
          <w:lang w:eastAsia="ru-RU"/>
        </w:rPr>
        <w:t>Other key activities included:</w:t>
      </w:r>
    </w:p>
    <w:p w14:paraId="67292CD2" w14:textId="084FD332" w:rsidR="009031A1" w:rsidRPr="00E53977" w:rsidRDefault="00B9071F" w:rsidP="002771FB">
      <w:pPr>
        <w:pStyle w:val="List1"/>
      </w:pPr>
      <w:r w:rsidRPr="00E53977">
        <w:t>In February 2017</w:t>
      </w:r>
      <w:r w:rsidR="00DC2EAB" w:rsidRPr="00E53977">
        <w:t>,</w:t>
      </w:r>
      <w:r w:rsidRPr="00E53977">
        <w:t xml:space="preserve"> the NFA completed a brief summary on practical requirements for Georgian veterinary, phytosanitary and border control services to be starting to use EU’s </w:t>
      </w:r>
      <w:r w:rsidR="00242FAD" w:rsidRPr="00E53977">
        <w:t>Trade</w:t>
      </w:r>
      <w:r w:rsidRPr="00E53977">
        <w:t xml:space="preserve"> Control and Expert System (TRACES) in all export consignments. </w:t>
      </w:r>
      <w:bookmarkStart w:id="43" w:name="_Hlk481569215"/>
    </w:p>
    <w:p w14:paraId="486ECAEB" w14:textId="3F6C926E" w:rsidR="009031A1" w:rsidRPr="00E53977" w:rsidRDefault="00B9071F" w:rsidP="002771FB">
      <w:pPr>
        <w:pStyle w:val="List1"/>
      </w:pPr>
      <w:r w:rsidRPr="00E53977">
        <w:t>In March 2017</w:t>
      </w:r>
      <w:r w:rsidR="00975A9E" w:rsidRPr="00E53977">
        <w:t>,</w:t>
      </w:r>
      <w:r w:rsidRPr="00E53977">
        <w:t xml:space="preserve"> the NFA supported the RS in drafting plans for future World Bank/IFC missions </w:t>
      </w:r>
      <w:r w:rsidR="00975A9E" w:rsidRPr="00E53977">
        <w:t xml:space="preserve">expected to improve </w:t>
      </w:r>
      <w:r w:rsidRPr="00E53977">
        <w:t xml:space="preserve">SPS </w:t>
      </w:r>
      <w:r w:rsidR="00975A9E" w:rsidRPr="00E53977">
        <w:t>cargo clearance and risk management processes</w:t>
      </w:r>
      <w:r w:rsidRPr="00E53977">
        <w:t xml:space="preserve">. </w:t>
      </w:r>
      <w:bookmarkEnd w:id="43"/>
    </w:p>
    <w:p w14:paraId="53892B2C" w14:textId="1FBA9881" w:rsidR="008A1D34" w:rsidRPr="00E53977" w:rsidRDefault="00B9071F" w:rsidP="002771FB">
      <w:pPr>
        <w:pStyle w:val="List1"/>
      </w:pPr>
      <w:r w:rsidRPr="00E53977">
        <w:t>In April 2017, the NFA provided the Customs Administration of the RS with recommendations on Sadakhlo, Kartsakhi, and Red Bridge BIPs on biosafety measures and fencing as well as protection of transported goods from the point of entry to the inspection post to minimize risk of dissemination of harmful pests, diseases, etc.</w:t>
      </w:r>
      <w:r w:rsidR="009031A1" w:rsidRPr="00E53977">
        <w:t xml:space="preserve"> </w:t>
      </w:r>
      <w:r w:rsidRPr="00E53977">
        <w:t xml:space="preserve">These recommendations </w:t>
      </w:r>
      <w:r w:rsidR="009031A1" w:rsidRPr="00E53977">
        <w:t>were considered</w:t>
      </w:r>
      <w:r w:rsidRPr="00E53977">
        <w:t xml:space="preserve"> during the selection of locations, design, construction</w:t>
      </w:r>
      <w:r w:rsidR="003910F2" w:rsidRPr="00E53977">
        <w:t>,</w:t>
      </w:r>
      <w:r w:rsidRPr="00E53977">
        <w:t xml:space="preserve"> and renovation of BIPs. </w:t>
      </w:r>
    </w:p>
    <w:p w14:paraId="36018A3C" w14:textId="37DC7D45" w:rsidR="00B9071F" w:rsidRPr="00E53977" w:rsidRDefault="00251415" w:rsidP="002771FB">
      <w:pPr>
        <w:pStyle w:val="Heading2"/>
        <w:widowControl w:val="0"/>
      </w:pPr>
      <w:bookmarkStart w:id="44" w:name="_Toc520906376"/>
      <w:r w:rsidRPr="00E53977">
        <w:t>Water Supply Systems</w:t>
      </w:r>
      <w:bookmarkEnd w:id="44"/>
      <w:r w:rsidRPr="00E53977">
        <w:t xml:space="preserve"> </w:t>
      </w:r>
    </w:p>
    <w:p w14:paraId="29BB5F18" w14:textId="4299E0A6" w:rsidR="00B041C1" w:rsidRPr="00E53977" w:rsidRDefault="00B9071F" w:rsidP="002771FB">
      <w:pPr>
        <w:widowControl w:val="0"/>
        <w:spacing w:line="240" w:lineRule="auto"/>
      </w:pPr>
      <w:r w:rsidRPr="00E53977">
        <w:t xml:space="preserve">Georgia’s water supply system involves </w:t>
      </w:r>
      <w:r w:rsidR="002748F3" w:rsidRPr="00E53977">
        <w:t xml:space="preserve">multiple </w:t>
      </w:r>
      <w:r w:rsidRPr="00E53977">
        <w:t>operators</w:t>
      </w:r>
      <w:r w:rsidR="002748F3" w:rsidRPr="00E53977">
        <w:t>;</w:t>
      </w:r>
      <w:r w:rsidRPr="00E53977">
        <w:t xml:space="preserve"> however, its proper functioning is essential to avoid foodborne and waterborne diseases and ensure consumer health. At the same time, the water supply system contribute</w:t>
      </w:r>
      <w:r w:rsidR="002748F3" w:rsidRPr="00E53977">
        <w:t>s</w:t>
      </w:r>
      <w:r w:rsidRPr="00E53977">
        <w:t xml:space="preserve"> to the safety of food products, as water is used throughout the whole food chain</w:t>
      </w:r>
      <w:r w:rsidR="002748F3" w:rsidRPr="00E53977">
        <w:t>, creating a risk of contamination</w:t>
      </w:r>
      <w:r w:rsidRPr="00E53977">
        <w:t xml:space="preserve">. Therefore, the subject of the quality of water supply systems is included </w:t>
      </w:r>
      <w:r w:rsidR="00FC6FC2" w:rsidRPr="00E53977">
        <w:t>in this assessment</w:t>
      </w:r>
      <w:r w:rsidRPr="00E53977">
        <w:t>.</w:t>
      </w:r>
    </w:p>
    <w:p w14:paraId="2C781D88" w14:textId="77777777" w:rsidR="00B9071F" w:rsidRPr="00E53977" w:rsidRDefault="00B9071F" w:rsidP="002771FB">
      <w:pPr>
        <w:pStyle w:val="Heading3"/>
      </w:pPr>
      <w:r w:rsidRPr="00E53977">
        <w:t>NFA’s Water Inspection Division</w:t>
      </w:r>
    </w:p>
    <w:p w14:paraId="1711B410" w14:textId="43DB46F1" w:rsidR="00B9071F" w:rsidRPr="00E53977" w:rsidRDefault="00B9071F" w:rsidP="002771FB">
      <w:pPr>
        <w:widowControl w:val="0"/>
        <w:spacing w:line="240" w:lineRule="auto"/>
      </w:pPr>
      <w:r w:rsidRPr="00E53977">
        <w:t>Georgia’s water supply system is monitored and controlled at two levels, national controls via NFA inspections performed intermittently throughout the year (as determined by the Governmental Decree No. 92 in 2016, which is reassessed annually) and daily local control controls (as determined by Governmental Decree No. 58 in 2014)</w:t>
      </w:r>
      <w:r w:rsidR="00BF6C18" w:rsidRPr="00E53977">
        <w:t xml:space="preserve"> by water companies</w:t>
      </w:r>
      <w:r w:rsidR="00A72588" w:rsidRPr="00E53977">
        <w:t xml:space="preserve"> and municipalities</w:t>
      </w:r>
      <w:r w:rsidRPr="00E53977">
        <w:t>. All aspects of Georgia’s water supply systems are tested, from reservoirs to the water taps delivering water to consumers.</w:t>
      </w:r>
    </w:p>
    <w:p w14:paraId="1D35927F" w14:textId="6B609B03" w:rsidR="00B9071F" w:rsidRPr="00E53977" w:rsidRDefault="008733E0" w:rsidP="002771FB">
      <w:pPr>
        <w:widowControl w:val="0"/>
        <w:spacing w:line="240" w:lineRule="auto"/>
      </w:pPr>
      <w:r w:rsidRPr="00E53977">
        <w:t xml:space="preserve">The majority of consumers in Georgia rely on water provided by two companies: </w:t>
      </w:r>
      <w:r w:rsidR="00B9071F" w:rsidRPr="00E53977">
        <w:t>Georgian Water and Power (GWP) (a private firm) distributes water to consumers in Tbilisi, Rustavi, Mtskheta, and Gardabani</w:t>
      </w:r>
      <w:r w:rsidRPr="00E53977">
        <w:t xml:space="preserve"> while</w:t>
      </w:r>
      <w:r w:rsidR="00B9071F" w:rsidRPr="00E53977">
        <w:t xml:space="preserve"> </w:t>
      </w:r>
      <w:r w:rsidRPr="00E53977">
        <w:t xml:space="preserve">the </w:t>
      </w:r>
      <w:r w:rsidR="00B9071F" w:rsidRPr="00E53977">
        <w:t xml:space="preserve">United Water Supply Company (UWSC), under the Ministry of Infrastructure and Regional Development), </w:t>
      </w:r>
      <w:r w:rsidR="00B4594B" w:rsidRPr="00E53977">
        <w:t>supplies the remainder of Georgia (</w:t>
      </w:r>
      <w:r w:rsidR="00B9071F" w:rsidRPr="00E53977">
        <w:t>excluding Adjara and Sachkhere, which are supplied by municipal water supply systems</w:t>
      </w:r>
      <w:r w:rsidR="00B4594B" w:rsidRPr="00E53977">
        <w:t>)</w:t>
      </w:r>
      <w:r w:rsidR="00B9071F" w:rsidRPr="00E53977">
        <w:t xml:space="preserve">. </w:t>
      </w:r>
      <w:r w:rsidR="00EF56C0" w:rsidRPr="00E53977">
        <w:t>Still</w:t>
      </w:r>
      <w:r w:rsidR="00B9071F" w:rsidRPr="00E53977">
        <w:t xml:space="preserve">, </w:t>
      </w:r>
      <w:r w:rsidR="00EF56C0" w:rsidRPr="00E53977">
        <w:t>there are some</w:t>
      </w:r>
      <w:r w:rsidR="00B9071F" w:rsidRPr="00E53977">
        <w:t xml:space="preserve"> </w:t>
      </w:r>
      <w:r w:rsidR="00EF56C0" w:rsidRPr="00E53977">
        <w:t xml:space="preserve">rural </w:t>
      </w:r>
      <w:r w:rsidR="00B9071F" w:rsidRPr="00E53977">
        <w:t>areas</w:t>
      </w:r>
      <w:r w:rsidR="00EF56C0" w:rsidRPr="00E53977">
        <w:t xml:space="preserve"> that have no water distribution systems</w:t>
      </w:r>
      <w:r w:rsidR="00B9071F" w:rsidRPr="00E53977">
        <w:t>,</w:t>
      </w:r>
      <w:r w:rsidR="00EF56C0" w:rsidRPr="00E53977">
        <w:t xml:space="preserve"> </w:t>
      </w:r>
      <w:r w:rsidR="00B9071F" w:rsidRPr="00E53977">
        <w:t xml:space="preserve">and consumers depend on local water sources (i.e., wells). </w:t>
      </w:r>
      <w:r w:rsidR="00EF56C0" w:rsidRPr="00E53977">
        <w:t>As highlighted in the 2016 assessment, t</w:t>
      </w:r>
      <w:r w:rsidR="00B9071F" w:rsidRPr="00E53977">
        <w:t>hese areas are outside the daily official control and represent a potential risk to the food safety system.</w:t>
      </w:r>
    </w:p>
    <w:p w14:paraId="4F4FF2E7" w14:textId="5FBACA12" w:rsidR="00F45561" w:rsidRPr="00E53977" w:rsidRDefault="00F45561" w:rsidP="002771FB">
      <w:pPr>
        <w:pStyle w:val="Heading3"/>
      </w:pPr>
      <w:r w:rsidRPr="00E53977">
        <w:t>Results of Inspection and Control Activities</w:t>
      </w:r>
    </w:p>
    <w:p w14:paraId="229548F1" w14:textId="47E9E1B7" w:rsidR="004713AA" w:rsidRPr="00E53977" w:rsidRDefault="00C83F97" w:rsidP="002771FB">
      <w:pPr>
        <w:widowControl w:val="0"/>
        <w:spacing w:line="240" w:lineRule="auto"/>
      </w:pPr>
      <w:r w:rsidRPr="00E53977">
        <w:t xml:space="preserve">The NFA conducts water sample testing across a cross-section of Georgia’s municipalities to test for violations that contain harmful </w:t>
      </w:r>
      <w:r w:rsidR="004713AA" w:rsidRPr="00E53977">
        <w:t>metals and biological organisms. Key results include:</w:t>
      </w:r>
    </w:p>
    <w:p w14:paraId="2B41CCF5" w14:textId="2EA3F6BE" w:rsidR="00B9071F" w:rsidRPr="00E53977" w:rsidRDefault="00B9071F" w:rsidP="002771FB">
      <w:pPr>
        <w:pStyle w:val="List1"/>
      </w:pPr>
      <w:r w:rsidRPr="00E53977">
        <w:lastRenderedPageBreak/>
        <w:t xml:space="preserve">In 2017, the NFA </w:t>
      </w:r>
      <w:r w:rsidR="00A2408D" w:rsidRPr="00E53977">
        <w:t xml:space="preserve">tested </w:t>
      </w:r>
      <w:r w:rsidRPr="00E53977">
        <w:t>548 samples of drinking water (including 18 bottled waters)</w:t>
      </w:r>
      <w:r w:rsidR="00A2408D" w:rsidRPr="00E53977">
        <w:t xml:space="preserve">, which resulted in </w:t>
      </w:r>
      <w:r w:rsidRPr="00E53977">
        <w:t>42</w:t>
      </w:r>
      <w:r w:rsidR="00E50CB0" w:rsidRPr="00E53977">
        <w:t>.</w:t>
      </w:r>
      <w:r w:rsidRPr="00E53977">
        <w:t>3%</w:t>
      </w:r>
      <w:r w:rsidR="00A2408D" w:rsidRPr="00E53977">
        <w:t xml:space="preserve"> of the samples being non-compliant (specifically, </w:t>
      </w:r>
      <w:r w:rsidRPr="00E53977">
        <w:t>232 samples including 6 packaged waters)</w:t>
      </w:r>
      <w:r w:rsidR="00A2408D" w:rsidRPr="00E53977">
        <w:t>.</w:t>
      </w:r>
    </w:p>
    <w:p w14:paraId="16609D09" w14:textId="6F350D5F" w:rsidR="00B9071F" w:rsidRPr="00E53977" w:rsidRDefault="00B9071F" w:rsidP="002771FB">
      <w:pPr>
        <w:pStyle w:val="List1"/>
      </w:pPr>
      <w:r w:rsidRPr="00E53977">
        <w:t>96</w:t>
      </w:r>
      <w:r w:rsidR="00E50CB0" w:rsidRPr="00E53977">
        <w:t>.</w:t>
      </w:r>
      <w:r w:rsidRPr="00E53977">
        <w:t>6% of the non-complian</w:t>
      </w:r>
      <w:r w:rsidR="00773420" w:rsidRPr="00E53977">
        <w:t>t sample</w:t>
      </w:r>
      <w:r w:rsidRPr="00E53977">
        <w:t>s</w:t>
      </w:r>
      <w:r w:rsidR="00773420" w:rsidRPr="00E53977">
        <w:t xml:space="preserve"> </w:t>
      </w:r>
      <w:r w:rsidRPr="00E53977">
        <w:t>were related to the violations of microbiological characteristics, 5.6% were violations of physical biological characteristics</w:t>
      </w:r>
      <w:r w:rsidR="00773420" w:rsidRPr="00E53977">
        <w:t>,</w:t>
      </w:r>
      <w:r w:rsidRPr="00E53977">
        <w:rPr>
          <w:rFonts w:ascii="Arial" w:hAnsi="Arial"/>
          <w:color w:val="545454"/>
          <w:shd w:val="clear" w:color="auto" w:fill="FFFFFF"/>
        </w:rPr>
        <w:t> </w:t>
      </w:r>
      <w:r w:rsidRPr="00E53977">
        <w:t xml:space="preserve">and 8.2% were organoleptic characteristics. </w:t>
      </w:r>
    </w:p>
    <w:p w14:paraId="5BE8FC59" w14:textId="0B806345" w:rsidR="00431804" w:rsidRPr="00E53977" w:rsidRDefault="00431804" w:rsidP="002771FB">
      <w:pPr>
        <w:widowControl w:val="0"/>
        <w:spacing w:line="240" w:lineRule="auto"/>
      </w:pPr>
      <w:r w:rsidRPr="00E53977">
        <w:rPr>
          <w:lang w:eastAsia="ka-GE"/>
        </w:rPr>
        <w:t xml:space="preserve">The NFA concluded that </w:t>
      </w:r>
      <w:r w:rsidR="00B9071F" w:rsidRPr="00E53977">
        <w:rPr>
          <w:lang w:eastAsia="ka-GE"/>
        </w:rPr>
        <w:t xml:space="preserve">the main </w:t>
      </w:r>
      <w:r w:rsidRPr="00E53977">
        <w:rPr>
          <w:lang w:eastAsia="ka-GE"/>
        </w:rPr>
        <w:t xml:space="preserve">causes </w:t>
      </w:r>
      <w:r w:rsidR="00B9071F" w:rsidRPr="00E53977">
        <w:rPr>
          <w:lang w:eastAsia="ka-GE"/>
        </w:rPr>
        <w:t xml:space="preserve">of non-compliance of drinking water </w:t>
      </w:r>
      <w:r w:rsidRPr="00E53977">
        <w:rPr>
          <w:lang w:eastAsia="ka-GE"/>
        </w:rPr>
        <w:t xml:space="preserve">networks </w:t>
      </w:r>
      <w:r w:rsidR="00B9071F" w:rsidRPr="00E53977">
        <w:rPr>
          <w:lang w:eastAsia="ka-GE"/>
        </w:rPr>
        <w:t xml:space="preserve">relate to the </w:t>
      </w:r>
      <w:r w:rsidRPr="00E53977">
        <w:rPr>
          <w:lang w:eastAsia="ka-GE"/>
        </w:rPr>
        <w:t xml:space="preserve">quality of the </w:t>
      </w:r>
      <w:r w:rsidR="00B9071F" w:rsidRPr="00E53977">
        <w:rPr>
          <w:lang w:eastAsia="ka-GE"/>
        </w:rPr>
        <w:t xml:space="preserve">distribution network of centralized systems of small-scale water pipes of the rural area. </w:t>
      </w:r>
      <w:r w:rsidRPr="00E53977">
        <w:rPr>
          <w:lang w:eastAsia="ka-GE"/>
        </w:rPr>
        <w:t>Specifically, t</w:t>
      </w:r>
      <w:r w:rsidRPr="00E53977">
        <w:t>he NFA sampling results from rural water supplies demonstrate that municipalities need to invest more on water filtration, disinfection, and new water pipe networks to ensure safe water</w:t>
      </w:r>
      <w:r w:rsidR="00C45601" w:rsidRPr="00E53977">
        <w:t xml:space="preserve"> for consumers and FBOs processing food products</w:t>
      </w:r>
      <w:r w:rsidRPr="00E53977">
        <w:t xml:space="preserve">. </w:t>
      </w:r>
    </w:p>
    <w:p w14:paraId="1B3AD030" w14:textId="2FB09906" w:rsidR="00B9071F" w:rsidRPr="00E53977" w:rsidRDefault="002214DD" w:rsidP="002771FB">
      <w:pPr>
        <w:widowControl w:val="0"/>
        <w:spacing w:line="240" w:lineRule="auto"/>
      </w:pPr>
      <w:r w:rsidRPr="00E53977">
        <w:rPr>
          <w:lang w:eastAsia="ka-GE"/>
        </w:rPr>
        <w:t>For cases of non-compliance</w:t>
      </w:r>
      <w:r w:rsidR="00A3712F" w:rsidRPr="00E53977">
        <w:rPr>
          <w:lang w:eastAsia="ka-GE"/>
        </w:rPr>
        <w:t xml:space="preserve"> for water distribution systems</w:t>
      </w:r>
      <w:r w:rsidR="00B9071F" w:rsidRPr="00E53977">
        <w:rPr>
          <w:lang w:eastAsia="ka-GE"/>
        </w:rPr>
        <w:t xml:space="preserve">, the NFA informed in writing the companies and authorities (including local municipalities) responsible </w:t>
      </w:r>
      <w:r w:rsidR="00A3712F" w:rsidRPr="00E53977">
        <w:rPr>
          <w:lang w:eastAsia="ka-GE"/>
        </w:rPr>
        <w:t>the violations and included mandatory corrective actions for the organizations to implement</w:t>
      </w:r>
      <w:r w:rsidR="00DB03A7" w:rsidRPr="00E53977">
        <w:rPr>
          <w:lang w:eastAsia="ka-GE"/>
        </w:rPr>
        <w:t xml:space="preserve">. For cases of non-compliance by bottled drinking water companies, the NFA conducted </w:t>
      </w:r>
      <w:r w:rsidR="00B9071F" w:rsidRPr="00E53977">
        <w:t>unscheduled inspections</w:t>
      </w:r>
      <w:r w:rsidR="00DB03A7" w:rsidRPr="00E53977">
        <w:t>,</w:t>
      </w:r>
      <w:r w:rsidR="00B9071F" w:rsidRPr="00E53977">
        <w:t xml:space="preserve"> and non-compliant batches were recalled from the market. </w:t>
      </w:r>
    </w:p>
    <w:p w14:paraId="14519134" w14:textId="77777777" w:rsidR="00974848" w:rsidRPr="00E53977" w:rsidRDefault="00974848" w:rsidP="002771FB">
      <w:pPr>
        <w:pStyle w:val="Heading3"/>
      </w:pPr>
      <w:r w:rsidRPr="00E53977">
        <w:t>United Water Supply Company (UWSC)</w:t>
      </w:r>
    </w:p>
    <w:p w14:paraId="183C3A94" w14:textId="77777777" w:rsidR="00974848" w:rsidRPr="00E53977" w:rsidRDefault="00974848" w:rsidP="002771FB">
      <w:pPr>
        <w:widowControl w:val="0"/>
        <w:spacing w:line="240" w:lineRule="auto"/>
      </w:pPr>
      <w:r w:rsidRPr="00E53977">
        <w:t>The UWSC provides drinking water for 35-40% of the total population of Georgia, particularly in rural areas, and hosts a network of 52 water safety laboratories across Georgia, which increased by 1 in 2017. In addition to the central laboratory in Tbilisi, UWSC also has 8 regional laboratories and laboratories in 43 of its 50 service centers (86%), representing an improvement to its internal capacity to conduct water safety testing. In partnership with international donors, UWSC has invested GEL 121 million in the improvement of the water supply system, headwaters, and the sewage system. In 2017, UWSC conducted 47,351 water analyses, of which only 0.73% were non-compliant, which is clear improvement from 1.56% non-compliancy among 44,354 samples in 2016.</w:t>
      </w:r>
    </w:p>
    <w:p w14:paraId="59A00C91" w14:textId="1584F9AD" w:rsidR="00974848" w:rsidRPr="00E53977" w:rsidRDefault="0000720A" w:rsidP="002771FB">
      <w:pPr>
        <w:widowControl w:val="0"/>
        <w:spacing w:line="240" w:lineRule="auto"/>
      </w:pPr>
      <w:r w:rsidRPr="00E53977">
        <w:t xml:space="preserve">Regarding human resources, </w:t>
      </w:r>
      <w:r w:rsidR="00974848" w:rsidRPr="00E53977">
        <w:t>UWSC reported that it is very difficult to find qualified technical staff and engineers, particularly in the regions. This is highlighted by the fact that the average age of these staff categories is 58 years old. Recognizing the long-term need for qualified staff, particularly as UWSC expands, it has signed MoUs with several universities in Georgia to promote an increase of qualified personnel.</w:t>
      </w:r>
    </w:p>
    <w:p w14:paraId="61D108BF" w14:textId="77777777" w:rsidR="00B9071F" w:rsidRPr="00E53977" w:rsidRDefault="00B9071F" w:rsidP="002771FB">
      <w:pPr>
        <w:pStyle w:val="Heading3"/>
      </w:pPr>
      <w:r w:rsidRPr="00E53977">
        <w:t>Georgian Water and Power (GWP)</w:t>
      </w:r>
    </w:p>
    <w:p w14:paraId="2B497C5A" w14:textId="4E1E09F0" w:rsidR="00B9071F" w:rsidRPr="00E53977" w:rsidRDefault="00983C0A" w:rsidP="002771FB">
      <w:pPr>
        <w:widowControl w:val="0"/>
        <w:spacing w:line="240" w:lineRule="auto"/>
      </w:pPr>
      <w:r w:rsidRPr="00E53977">
        <w:t>With its</w:t>
      </w:r>
      <w:r w:rsidR="00B9071F" w:rsidRPr="00E53977">
        <w:t xml:space="preserve"> subsidiaries, Rustavi and Mtskheta Water Companies</w:t>
      </w:r>
      <w:r w:rsidR="00371CCC" w:rsidRPr="00E53977">
        <w:t>, GWP provides service to 450,000 users, equivalent to approximately 1.5 consumers in Tbilisi, Rustavi, and Mtskheta</w:t>
      </w:r>
      <w:r w:rsidR="00B9071F" w:rsidRPr="00E53977">
        <w:t xml:space="preserve">. </w:t>
      </w:r>
    </w:p>
    <w:p w14:paraId="3D3450ED" w14:textId="1DB1B9A7" w:rsidR="00B9071F" w:rsidRPr="00E53977" w:rsidRDefault="00B9071F" w:rsidP="002771FB">
      <w:pPr>
        <w:widowControl w:val="0"/>
        <w:spacing w:line="240" w:lineRule="auto"/>
      </w:pPr>
      <w:r w:rsidRPr="00E53977">
        <w:t>GWP currently has 4 laboratories, with the central lab in Tbilisi operating on a 24-hour daily basis, with testing frequencies every 15 minutes during flood periods and every 60 minutes during normal periods. All laboratories are compliant with ISO 17025 and are accredited by the Georgian Accreditation Center (GAC). GWP conducted 11,608 samples in 2017, which shows a 50% quality improvement from 2016</w:t>
      </w:r>
      <w:r w:rsidR="00C61524" w:rsidRPr="00E53977">
        <w:t xml:space="preserve"> (from 0.2% of samples to 0.1% in 2017)</w:t>
      </w:r>
      <w:r w:rsidRPr="00E53977">
        <w:t>.</w:t>
      </w:r>
    </w:p>
    <w:p w14:paraId="1B1171D6" w14:textId="7B58C43A" w:rsidR="00B9071F" w:rsidRPr="00E53977" w:rsidRDefault="00B9071F" w:rsidP="002771FB">
      <w:pPr>
        <w:widowControl w:val="0"/>
        <w:spacing w:line="240" w:lineRule="auto"/>
      </w:pPr>
      <w:r w:rsidRPr="00E53977">
        <w:t>GWP</w:t>
      </w:r>
      <w:r w:rsidR="009138A7" w:rsidRPr="00E53977">
        <w:t xml:space="preserve"> </w:t>
      </w:r>
      <w:r w:rsidRPr="00E53977">
        <w:t>has a dedicated unit that responds to a telephone hotline and social media posts</w:t>
      </w:r>
      <w:r w:rsidR="00B65DA4" w:rsidRPr="00E53977">
        <w:t>, with an</w:t>
      </w:r>
      <w:r w:rsidRPr="00E53977">
        <w:t xml:space="preserve"> average response time </w:t>
      </w:r>
      <w:r w:rsidR="00B65DA4" w:rsidRPr="00E53977">
        <w:t>of</w:t>
      </w:r>
      <w:r w:rsidRPr="00E53977">
        <w:t xml:space="preserve"> 5-10 minutes if no visit to the user’s address is required.</w:t>
      </w:r>
    </w:p>
    <w:p w14:paraId="7B9A45E8" w14:textId="1AC0A1C7" w:rsidR="0064293D" w:rsidRPr="00E53977" w:rsidRDefault="00B9071F" w:rsidP="002771FB">
      <w:pPr>
        <w:widowControl w:val="0"/>
        <w:spacing w:line="240" w:lineRule="auto"/>
      </w:pPr>
      <w:bookmarkStart w:id="45" w:name="_Hlk513481836"/>
      <w:r w:rsidRPr="00E53977">
        <w:t>Additionally, GWP has its own training center, with 30 different training modules for</w:t>
      </w:r>
      <w:r w:rsidR="00A54F12" w:rsidRPr="00E53977">
        <w:t xml:space="preserve"> its</w:t>
      </w:r>
      <w:r w:rsidRPr="00E53977">
        <w:t xml:space="preserve"> staff. In 2017, GWP provided training for 1,100 staff members. GWP </w:t>
      </w:r>
      <w:r w:rsidR="007778C4" w:rsidRPr="00E53977">
        <w:t>is applying</w:t>
      </w:r>
      <w:r w:rsidRPr="00E53977">
        <w:t xml:space="preserve"> to receive accreditation as an educational institution </w:t>
      </w:r>
      <w:r w:rsidR="007778C4" w:rsidRPr="00E53977">
        <w:t xml:space="preserve">for its training center </w:t>
      </w:r>
      <w:r w:rsidRPr="00E53977">
        <w:t xml:space="preserve">to provide fee-based training programs for others. GWP is </w:t>
      </w:r>
      <w:r w:rsidR="007778C4" w:rsidRPr="00E53977">
        <w:t xml:space="preserve">also </w:t>
      </w:r>
      <w:r w:rsidRPr="00E53977">
        <w:t xml:space="preserve">working with </w:t>
      </w:r>
      <w:r w:rsidR="00007F4A" w:rsidRPr="00E53977">
        <w:t xml:space="preserve">the </w:t>
      </w:r>
      <w:r w:rsidRPr="00E53977">
        <w:rPr>
          <w:rFonts w:cs="Times New Roman"/>
          <w:szCs w:val="24"/>
        </w:rPr>
        <w:t>German Organization for International Cooperation</w:t>
      </w:r>
      <w:r w:rsidRPr="00E53977">
        <w:t xml:space="preserve"> (GIZ) to </w:t>
      </w:r>
      <w:r w:rsidR="007778C4" w:rsidRPr="00E53977">
        <w:t xml:space="preserve">create </w:t>
      </w:r>
      <w:r w:rsidRPr="00E53977">
        <w:t>a dual-education system (includ</w:t>
      </w:r>
      <w:r w:rsidR="00007F4A" w:rsidRPr="00E53977">
        <w:t>ing</w:t>
      </w:r>
      <w:r w:rsidRPr="00E53977">
        <w:t xml:space="preserve"> “on the job” training).</w:t>
      </w:r>
      <w:bookmarkEnd w:id="45"/>
      <w:r w:rsidR="0064293D" w:rsidRPr="00E53977">
        <w:t xml:space="preserve"> </w:t>
      </w:r>
    </w:p>
    <w:p w14:paraId="17209354" w14:textId="1DEAD1B9" w:rsidR="00B9071F" w:rsidRPr="00E53977" w:rsidRDefault="00251415" w:rsidP="002771FB">
      <w:pPr>
        <w:pStyle w:val="Heading2"/>
        <w:widowControl w:val="0"/>
      </w:pPr>
      <w:bookmarkStart w:id="46" w:name="_Toc520645809"/>
      <w:bookmarkStart w:id="47" w:name="_Toc520906377"/>
      <w:bookmarkEnd w:id="46"/>
      <w:r w:rsidRPr="00E53977">
        <w:lastRenderedPageBreak/>
        <w:t>Human Health and Control Plan</w:t>
      </w:r>
      <w:bookmarkEnd w:id="47"/>
    </w:p>
    <w:p w14:paraId="57C0CCB7" w14:textId="77777777" w:rsidR="00B9071F" w:rsidRPr="00E53977" w:rsidRDefault="00B9071F" w:rsidP="002771FB">
      <w:pPr>
        <w:pStyle w:val="Heading3"/>
      </w:pPr>
      <w:bookmarkStart w:id="48" w:name="_Toc508180520"/>
      <w:r w:rsidRPr="00E53977">
        <w:t>Improvements in the Sanitary-Hygienic Normative Framework</w:t>
      </w:r>
      <w:bookmarkEnd w:id="48"/>
    </w:p>
    <w:p w14:paraId="641215D9" w14:textId="2AF1270F" w:rsidR="00B9071F" w:rsidRPr="00E53977" w:rsidRDefault="00B9071F" w:rsidP="002771FB">
      <w:pPr>
        <w:widowControl w:val="0"/>
        <w:spacing w:line="240" w:lineRule="auto"/>
      </w:pPr>
      <w:r w:rsidRPr="00E53977">
        <w:t xml:space="preserve">The National Anti-Microbial Resistance Strategy, implemented jointly by MEPA, the NFA, and MLHSA, and the NCDC was approved in January 2017 and encompasses activities related to not only food and water safety, but also hospital-related infections. The strategy was still in its initial stages of implementation in 2017, but </w:t>
      </w:r>
      <w:r w:rsidR="00A32A28" w:rsidRPr="00E53977">
        <w:t xml:space="preserve">its </w:t>
      </w:r>
      <w:r w:rsidRPr="00E53977">
        <w:t>ongoing success will be determined by the level of coordination and financial resources allocated to implementation activities.</w:t>
      </w:r>
    </w:p>
    <w:p w14:paraId="24DD0B96" w14:textId="06B784B5" w:rsidR="00B9071F" w:rsidRPr="00E53977" w:rsidRDefault="00B9071F" w:rsidP="002771FB">
      <w:pPr>
        <w:widowControl w:val="0"/>
        <w:spacing w:line="240" w:lineRule="auto"/>
      </w:pPr>
      <w:r w:rsidRPr="00E53977">
        <w:t xml:space="preserve">Additionally, in 2017, the NFA and the NCDC enhanced their communication and cooperation by establishing a joint committee to develop an epidemiological enteric (i.e., diarrhea) control program, complete with improved laboratory testing requirements and processes. The NCDC demonstrated shigella infections to NFA staff members, showing how its laboratory system resulted in greater precision in detecting infections. </w:t>
      </w:r>
      <w:r w:rsidR="00FE24A0" w:rsidRPr="00E53977">
        <w:t>In response, t</w:t>
      </w:r>
      <w:r w:rsidRPr="00E53977">
        <w:t>he NFA agreed to harmonize its laboratory capacities with</w:t>
      </w:r>
      <w:r w:rsidR="006D7F0D" w:rsidRPr="00E53977">
        <w:t xml:space="preserve"> those of</w:t>
      </w:r>
      <w:r w:rsidRPr="00E53977">
        <w:t xml:space="preserve"> the NCDC.</w:t>
      </w:r>
    </w:p>
    <w:p w14:paraId="4F124698" w14:textId="77777777" w:rsidR="00B9071F" w:rsidRPr="00E53977" w:rsidRDefault="00B9071F" w:rsidP="002771FB">
      <w:pPr>
        <w:pStyle w:val="Heading3"/>
      </w:pPr>
      <w:bookmarkStart w:id="49" w:name="_Toc508180521"/>
      <w:bookmarkStart w:id="50" w:name="_Hlk479619317"/>
      <w:r w:rsidRPr="00E53977">
        <w:t>Outbreak Detection, Identification, and Investigation</w:t>
      </w:r>
      <w:bookmarkEnd w:id="49"/>
    </w:p>
    <w:p w14:paraId="137B8D10" w14:textId="77777777" w:rsidR="00887802" w:rsidRPr="00E53977" w:rsidRDefault="00D954C4" w:rsidP="002771FB">
      <w:pPr>
        <w:widowControl w:val="0"/>
        <w:spacing w:line="240" w:lineRule="auto"/>
      </w:pPr>
      <w:r w:rsidRPr="00E53977">
        <w:t>G</w:t>
      </w:r>
      <w:r w:rsidR="00B9071F" w:rsidRPr="00E53977">
        <w:t xml:space="preserve">reater cooperation and communication between the NFA and the NCDC, both formally and informally, have resulted in greater success in responding to outbreaks of all types, particularly related to epidemiological outbreaks. </w:t>
      </w:r>
      <w:r w:rsidR="00887802" w:rsidRPr="00E53977">
        <w:t>Two examples include:</w:t>
      </w:r>
    </w:p>
    <w:p w14:paraId="14CBF940" w14:textId="4865D5D0" w:rsidR="00887802" w:rsidRPr="00E53977" w:rsidRDefault="00887802" w:rsidP="002771FB">
      <w:pPr>
        <w:pStyle w:val="List1"/>
      </w:pPr>
      <w:r w:rsidRPr="00E53977">
        <w:t>T</w:t>
      </w:r>
      <w:r w:rsidR="00B9071F" w:rsidRPr="00E53977">
        <w:t xml:space="preserve">he NCDC received a complaint about a shawarma stand in Tbilisi and informed the NFA </w:t>
      </w:r>
      <w:r w:rsidR="00AF6F09" w:rsidRPr="00E53977">
        <w:t xml:space="preserve">of the complaint </w:t>
      </w:r>
      <w:r w:rsidR="00B9071F" w:rsidRPr="00E53977">
        <w:t xml:space="preserve">at 13:00. The NFA’s inspectors mobilized immediately and arrived at the FBO’s premises </w:t>
      </w:r>
      <w:r w:rsidR="008E646E" w:rsidRPr="00E53977">
        <w:t>at 15:30</w:t>
      </w:r>
      <w:r w:rsidR="00B9071F" w:rsidRPr="00E53977">
        <w:t xml:space="preserve"> and shut down the FBO’s operations</w:t>
      </w:r>
      <w:r w:rsidR="008D2CE0" w:rsidRPr="00E53977">
        <w:t xml:space="preserve"> for inspections and testing</w:t>
      </w:r>
      <w:r w:rsidR="00B9071F" w:rsidRPr="00E53977">
        <w:t xml:space="preserve">. </w:t>
      </w:r>
    </w:p>
    <w:p w14:paraId="58AA8BA9" w14:textId="34E333A7" w:rsidR="00D954C4" w:rsidRPr="00E53977" w:rsidRDefault="00887802" w:rsidP="002771FB">
      <w:pPr>
        <w:pStyle w:val="List1"/>
      </w:pPr>
      <w:r w:rsidRPr="00E53977">
        <w:t>A</w:t>
      </w:r>
      <w:r w:rsidR="00B9071F" w:rsidRPr="00E53977">
        <w:t>t a wedding ceremony in Rustavi, about 30 of the guests had become sick and were taken to the hospital. The NFA inspectors arrived at the wedding hall within 1 hour, while the wedding party was still taking place, and removed the tainted food that was identified by the NCDC as causing the infection.</w:t>
      </w:r>
    </w:p>
    <w:p w14:paraId="0D666A34" w14:textId="77777777" w:rsidR="00B9071F" w:rsidRPr="00E53977" w:rsidRDefault="00B9071F" w:rsidP="002771FB">
      <w:pPr>
        <w:pStyle w:val="Heading3"/>
      </w:pPr>
      <w:bookmarkStart w:id="51" w:name="_Toc508180522"/>
      <w:bookmarkEnd w:id="50"/>
      <w:r w:rsidRPr="00E53977">
        <w:t>Occurrence of Foodborne Diseases</w:t>
      </w:r>
      <w:bookmarkEnd w:id="51"/>
    </w:p>
    <w:p w14:paraId="2D0501CB" w14:textId="7959820C" w:rsidR="00B9071F" w:rsidRPr="00E53977" w:rsidRDefault="00B9071F" w:rsidP="002771FB">
      <w:pPr>
        <w:widowControl w:val="0"/>
        <w:spacing w:line="240" w:lineRule="auto"/>
        <w:rPr>
          <w:rFonts w:cs="Times New Roman"/>
          <w:szCs w:val="24"/>
        </w:rPr>
      </w:pPr>
      <w:r w:rsidRPr="00E53977">
        <w:t>The NCDC tracks the occurrence of both foodborne and waterborne diseases on a national basis throughout the year. Over the prior 10-year period, the number of self-reported diagnoses of presumed food poisoning has increased from 1,843 in 2008 to 33,615 in 2017</w:t>
      </w:r>
      <w:r w:rsidR="00403DF1" w:rsidRPr="00E53977">
        <w:t xml:space="preserve">. However, this also </w:t>
      </w:r>
      <w:r w:rsidRPr="00E53977">
        <w:t xml:space="preserve">represents a 2% decrease compared to 2015. </w:t>
      </w:r>
      <w:r w:rsidR="00256BE2" w:rsidRPr="00E53977">
        <w:t>Similarly</w:t>
      </w:r>
      <w:r w:rsidRPr="00E53977">
        <w:t>, the total number of self-reported diagnoses of diarrhea of infectious origin has increased over the 10-year period.</w:t>
      </w:r>
      <w:r w:rsidRPr="00E53977">
        <w:rPr>
          <w:rFonts w:cs="Times New Roman"/>
          <w:szCs w:val="24"/>
        </w:rPr>
        <w:t xml:space="preserve"> However, there has been a 37% decrease from 2016 to 2017. </w:t>
      </w:r>
      <w:r w:rsidR="00256BE2" w:rsidRPr="00E53977">
        <w:rPr>
          <w:rFonts w:cs="Times New Roman"/>
          <w:szCs w:val="24"/>
        </w:rPr>
        <w:t>A positive development is that t</w:t>
      </w:r>
      <w:r w:rsidRPr="00E53977">
        <w:rPr>
          <w:rFonts w:cs="Times New Roman"/>
          <w:szCs w:val="24"/>
        </w:rPr>
        <w:t xml:space="preserve">here has been a 43.7% decrease in </w:t>
      </w:r>
      <w:r w:rsidRPr="00E53977">
        <w:t>the total number of self-reported diagnoses of diarrhea of infectious origin since 2015, when cases reached a peak at 30,500.</w:t>
      </w:r>
    </w:p>
    <w:p w14:paraId="2120E546" w14:textId="7AF2A9C8" w:rsidR="008829C8" w:rsidRPr="00E53977" w:rsidRDefault="008829C8" w:rsidP="002771FB">
      <w:pPr>
        <w:widowControl w:val="0"/>
        <w:spacing w:line="240" w:lineRule="auto"/>
        <w:rPr>
          <w:rFonts w:cs="Times New Roman"/>
          <w:szCs w:val="24"/>
        </w:rPr>
      </w:pPr>
      <w:r w:rsidRPr="00E53977">
        <w:t xml:space="preserve">The decreases since 2015 suggest the healthcare and food safety systems are improving, </w:t>
      </w:r>
      <w:r w:rsidRPr="00E53977">
        <w:rPr>
          <w:rFonts w:cs="Times New Roman"/>
          <w:szCs w:val="24"/>
        </w:rPr>
        <w:t>but future assessments should determine whether a trend is developing. Furthermore, the NCDC and NFA should conduct research to determine the underlying causes of these improved rates.</w:t>
      </w:r>
    </w:p>
    <w:p w14:paraId="10955C2F" w14:textId="1FF91FD9" w:rsidR="00E5186A" w:rsidRPr="00E53977" w:rsidRDefault="00B9071F" w:rsidP="002771FB">
      <w:pPr>
        <w:widowControl w:val="0"/>
        <w:spacing w:line="240" w:lineRule="auto"/>
        <w:rPr>
          <w:rFonts w:cs="Times New Roman"/>
          <w:szCs w:val="24"/>
        </w:rPr>
      </w:pPr>
      <w:r w:rsidRPr="00E53977">
        <w:rPr>
          <w:rFonts w:cs="Times New Roman"/>
          <w:szCs w:val="24"/>
        </w:rPr>
        <w:t>As reported in the 2016 assessment, the dramatic increase in reported cases seems to be the resulting effect of better reporting via the national health system</w:t>
      </w:r>
      <w:r w:rsidR="00FE509B" w:rsidRPr="00FE509B">
        <w:t xml:space="preserve"> </w:t>
      </w:r>
      <w:r w:rsidR="00FE509B" w:rsidRPr="00FE509B">
        <w:rPr>
          <w:rFonts w:cs="Times New Roman"/>
          <w:szCs w:val="24"/>
        </w:rPr>
        <w:t>and increasing availability of government healthcare programs for Georgian citizens</w:t>
      </w:r>
      <w:r w:rsidRPr="00E53977">
        <w:rPr>
          <w:rFonts w:cs="Times New Roman"/>
          <w:szCs w:val="24"/>
        </w:rPr>
        <w:t xml:space="preserve">. However, </w:t>
      </w:r>
      <w:r w:rsidR="00FE509B" w:rsidRPr="00FE509B">
        <w:rPr>
          <w:rFonts w:cs="Times New Roman"/>
          <w:szCs w:val="24"/>
        </w:rPr>
        <w:t xml:space="preserve">experts and other </w:t>
      </w:r>
      <w:r w:rsidRPr="00E53977">
        <w:rPr>
          <w:rFonts w:cs="Times New Roman"/>
          <w:szCs w:val="24"/>
        </w:rPr>
        <w:t>respondents also indicated that there is an increasing global trend in the occurrence of diarrhea-related illnesses</w:t>
      </w:r>
      <w:r w:rsidR="005C714E">
        <w:rPr>
          <w:rFonts w:cs="Times New Roman"/>
          <w:szCs w:val="24"/>
        </w:rPr>
        <w:t>, which could be contributing to the increased rate of infections.</w:t>
      </w:r>
    </w:p>
    <w:p w14:paraId="47D87A05" w14:textId="47DF3757" w:rsidR="00D07DAC" w:rsidRPr="00E53977" w:rsidRDefault="00D07DAC" w:rsidP="002771FB">
      <w:pPr>
        <w:widowControl w:val="0"/>
        <w:spacing w:line="240" w:lineRule="auto"/>
        <w:rPr>
          <w:rFonts w:cs="Times New Roman"/>
          <w:szCs w:val="24"/>
        </w:rPr>
      </w:pPr>
    </w:p>
    <w:p w14:paraId="795475FF" w14:textId="787DC17D" w:rsidR="00591A9D" w:rsidRPr="00E53977" w:rsidRDefault="0068779F" w:rsidP="002771FB">
      <w:pPr>
        <w:pStyle w:val="Heading1"/>
        <w:widowControl w:val="0"/>
      </w:pPr>
      <w:bookmarkStart w:id="52" w:name="_Toc520906378"/>
      <w:r w:rsidRPr="00E53977">
        <w:rPr>
          <w:caps w:val="0"/>
        </w:rPr>
        <w:lastRenderedPageBreak/>
        <w:t>SYSTEM</w:t>
      </w:r>
      <w:r w:rsidR="00B4377E" w:rsidRPr="00E53977">
        <w:rPr>
          <w:caps w:val="0"/>
        </w:rPr>
        <w:t>IC</w:t>
      </w:r>
      <w:r w:rsidRPr="00E53977">
        <w:rPr>
          <w:caps w:val="0"/>
        </w:rPr>
        <w:t xml:space="preserve"> ISSUES</w:t>
      </w:r>
      <w:bookmarkEnd w:id="52"/>
      <w:r w:rsidRPr="00E53977">
        <w:rPr>
          <w:caps w:val="0"/>
        </w:rPr>
        <w:t xml:space="preserve"> </w:t>
      </w:r>
    </w:p>
    <w:p w14:paraId="13B3A14B" w14:textId="438F9B61" w:rsidR="00B9071F" w:rsidRPr="00E53977" w:rsidRDefault="00FC7B68" w:rsidP="002771FB">
      <w:pPr>
        <w:pStyle w:val="Heading2"/>
        <w:widowControl w:val="0"/>
        <w:numPr>
          <w:ilvl w:val="0"/>
          <w:numId w:val="41"/>
        </w:numPr>
        <w:ind w:left="360"/>
      </w:pPr>
      <w:bookmarkStart w:id="53" w:name="_Toc520906379"/>
      <w:r w:rsidRPr="00E53977">
        <w:t>Traceability in the Food Supply Chain</w:t>
      </w:r>
      <w:bookmarkEnd w:id="53"/>
    </w:p>
    <w:p w14:paraId="6D3F6973" w14:textId="52594596" w:rsidR="00B9071F" w:rsidRPr="00E53977" w:rsidRDefault="00AB430F" w:rsidP="002771FB">
      <w:pPr>
        <w:widowControl w:val="0"/>
        <w:spacing w:line="240" w:lineRule="auto"/>
      </w:pPr>
      <w:r w:rsidRPr="00E53977">
        <w:t>As highlighted in the 2016 assessment, t</w:t>
      </w:r>
      <w:r w:rsidR="00B9071F" w:rsidRPr="00E53977">
        <w:t xml:space="preserve">raceability of all food products “from farm to fork” is a fundamental principle of establishing and maintaining a functioning food safety system and of providing the framework to easily monitor for, and quickly react to, food safety and human health problems. </w:t>
      </w:r>
      <w:r w:rsidRPr="00E53977">
        <w:t xml:space="preserve">To respond to </w:t>
      </w:r>
      <w:r w:rsidR="00B9071F" w:rsidRPr="00E53977">
        <w:t xml:space="preserve">outbreaks, </w:t>
      </w:r>
      <w:r w:rsidR="00CA389F" w:rsidRPr="00E53977">
        <w:t xml:space="preserve">it is essential that the GoG and FBOs operating in Georgia have proper </w:t>
      </w:r>
      <w:r w:rsidR="00B9071F" w:rsidRPr="00E53977">
        <w:t xml:space="preserve">traceability </w:t>
      </w:r>
      <w:r w:rsidR="00CA389F" w:rsidRPr="00E53977">
        <w:t xml:space="preserve">systems to </w:t>
      </w:r>
      <w:r w:rsidR="00B9071F" w:rsidRPr="00E53977">
        <w:t xml:space="preserve">ensure </w:t>
      </w:r>
      <w:r w:rsidR="00CA389F" w:rsidRPr="00E53977">
        <w:t>they</w:t>
      </w:r>
      <w:r w:rsidR="00B9071F" w:rsidRPr="00E53977">
        <w:t xml:space="preserve"> can respond quickly and accurately to identify the sources of the outbreaks and to investigate further, if necessary. </w:t>
      </w:r>
      <w:r w:rsidR="00CA389F" w:rsidRPr="00E53977">
        <w:t xml:space="preserve">These systems </w:t>
      </w:r>
      <w:r w:rsidR="00B9071F" w:rsidRPr="00E53977">
        <w:t xml:space="preserve">reduce </w:t>
      </w:r>
      <w:r w:rsidR="00CA389F" w:rsidRPr="00E53977">
        <w:t xml:space="preserve">health </w:t>
      </w:r>
      <w:r w:rsidR="00B9071F" w:rsidRPr="00E53977">
        <w:t xml:space="preserve">risks for consumers </w:t>
      </w:r>
      <w:r w:rsidR="00CA389F" w:rsidRPr="00E53977">
        <w:t>and establish credibility for the FBOs among consumers and institutional buyers in local and export markets.</w:t>
      </w:r>
    </w:p>
    <w:p w14:paraId="34BD4B40" w14:textId="77777777" w:rsidR="00B9071F" w:rsidRPr="00E53977" w:rsidRDefault="00B9071F" w:rsidP="002771FB">
      <w:pPr>
        <w:widowControl w:val="0"/>
        <w:spacing w:line="240" w:lineRule="auto"/>
      </w:pPr>
      <w:r w:rsidRPr="00E53977">
        <w:t xml:space="preserve">For imported food products, the traceability system has improved since 2016 and traceability is well established up to the border, as well as afterwards within Georgia’s territory since transport and sale transactions are reported to the RS Customs Department electronic database. </w:t>
      </w:r>
    </w:p>
    <w:p w14:paraId="5CFCB46F" w14:textId="72C2BF49" w:rsidR="00B9071F" w:rsidRPr="00E53977" w:rsidRDefault="00AF533B" w:rsidP="002771FB">
      <w:pPr>
        <w:widowControl w:val="0"/>
        <w:spacing w:line="240" w:lineRule="auto"/>
      </w:pPr>
      <w:r w:rsidRPr="00E53977">
        <w:t>T</w:t>
      </w:r>
      <w:r w:rsidR="00B9071F" w:rsidRPr="00E53977">
        <w:t>he ability to trace origin to specific producers or processors is still generally not possible</w:t>
      </w:r>
      <w:r w:rsidR="00EC7F72" w:rsidRPr="00E53977">
        <w:t xml:space="preserve"> for domestically produced food products</w:t>
      </w:r>
      <w:r w:rsidR="00B9071F" w:rsidRPr="00E53977">
        <w:t xml:space="preserve">. </w:t>
      </w:r>
      <w:r w:rsidR="00EC7F72" w:rsidRPr="00E53977">
        <w:t>T</w:t>
      </w:r>
      <w:r w:rsidR="00B9071F" w:rsidRPr="00E53977">
        <w:t>raceability systems for meat products have been implemented better than for dairy products</w:t>
      </w:r>
      <w:r w:rsidR="007E3A4F" w:rsidRPr="00E53977">
        <w:t xml:space="preserve"> and will be improved under the NAITS project</w:t>
      </w:r>
      <w:r w:rsidR="00EC7F72" w:rsidRPr="00E53977">
        <w:t xml:space="preserve">, which </w:t>
      </w:r>
      <w:r w:rsidR="00B9071F" w:rsidRPr="00E53977">
        <w:t xml:space="preserve">is evidenced by the recent introduction of the flock and farm registration systems to trace animals. However, for open markets, it is still very difficult to establish traceability. According to respondents, animal registration with the NFA is already obligatory for cooperative members and more than 13,500 head of cattle have already been registered. </w:t>
      </w:r>
    </w:p>
    <w:p w14:paraId="65A2EC86" w14:textId="28A43E15" w:rsidR="00B9071F" w:rsidRPr="00E53977" w:rsidRDefault="00B9071F" w:rsidP="002771FB">
      <w:pPr>
        <w:widowControl w:val="0"/>
        <w:spacing w:line="240" w:lineRule="auto"/>
      </w:pPr>
      <w:r w:rsidRPr="00E53977">
        <w:t>On the other hand, the origin of dairy products can only be established to the wholesalers, in most cases, rather than to the individual producer or processor. F</w:t>
      </w:r>
      <w:r w:rsidR="00991060" w:rsidRPr="00E53977">
        <w:t>urthermore, f</w:t>
      </w:r>
      <w:r w:rsidRPr="00E53977">
        <w:t xml:space="preserve">or unregistered companies outside official control, traceability is generally not possible to establish. </w:t>
      </w:r>
    </w:p>
    <w:p w14:paraId="3658C798" w14:textId="77777777" w:rsidR="00B9071F" w:rsidRPr="00E53977" w:rsidRDefault="00B9071F" w:rsidP="002771FB">
      <w:pPr>
        <w:widowControl w:val="0"/>
        <w:spacing w:line="240" w:lineRule="auto"/>
      </w:pPr>
      <w:r w:rsidRPr="00E53977">
        <w:rPr>
          <w:rFonts w:cs="Times New Roman"/>
          <w:szCs w:val="24"/>
        </w:rPr>
        <w:t>Additionally, new l</w:t>
      </w:r>
      <w:r w:rsidRPr="00E53977">
        <w:t xml:space="preserve">egislation introduced in 2016 were implemented in 2017 to regulate traceability. Specifically, the new meat labeling Governmental Decree No. 118 came into force on March 9, 2016, establishing the requirement for labeling meat, which is a key component of traceability. Additionally, the Governmental Decree No. 546 established identification requirements for pigs as of December 13, 2016, which completed the already existing legislation on registration of bovines and small ruminants. </w:t>
      </w:r>
    </w:p>
    <w:p w14:paraId="6C4A1DE0" w14:textId="67A45EEB" w:rsidR="00B9071F" w:rsidRPr="00E53977" w:rsidRDefault="00B141ED" w:rsidP="002771FB">
      <w:pPr>
        <w:widowControl w:val="0"/>
        <w:spacing w:line="240" w:lineRule="auto"/>
      </w:pPr>
      <w:r w:rsidRPr="00E53977">
        <w:t>D</w:t>
      </w:r>
      <w:r w:rsidR="005C5F44" w:rsidRPr="00E53977">
        <w:t xml:space="preserve">espite </w:t>
      </w:r>
      <w:r w:rsidR="00B9071F" w:rsidRPr="00E53977">
        <w:t>the improving regulatory system</w:t>
      </w:r>
      <w:r w:rsidR="005C5F44" w:rsidRPr="00E53977">
        <w:t>,</w:t>
      </w:r>
      <w:r w:rsidR="00B9071F" w:rsidRPr="00E53977">
        <w:t xml:space="preserve"> traceability still represents a </w:t>
      </w:r>
      <w:r w:rsidRPr="00E53977">
        <w:t xml:space="preserve">significant </w:t>
      </w:r>
      <w:r w:rsidR="00B9071F" w:rsidRPr="00E53977">
        <w:t xml:space="preserve">vulnerability to the </w:t>
      </w:r>
      <w:r w:rsidRPr="00E53977">
        <w:t>food safety system in Georgia</w:t>
      </w:r>
      <w:r w:rsidR="00B9071F" w:rsidRPr="00E53977">
        <w:t xml:space="preserve">. Therefore, </w:t>
      </w:r>
      <w:r w:rsidRPr="00E53977">
        <w:t xml:space="preserve">this </w:t>
      </w:r>
      <w:r w:rsidR="00B9071F" w:rsidRPr="00E53977">
        <w:t>should continue to be a focus for future assessments. As recommended in the 2016 assessment</w:t>
      </w:r>
      <w:r w:rsidR="00B9071F" w:rsidRPr="00E53977">
        <w:rPr>
          <w:rFonts w:cs="Times New Roman"/>
          <w:szCs w:val="24"/>
        </w:rPr>
        <w:t>, the NFA should consider developing a mechanism for tracing food products (e.g., electronic platform) to be used on a mass scale, particularly by small FBOs. If possible, this new mechanism should be linked to the RS’s transportation/sales electronic documentation system already in place to enhance traceability for both imported and domestically produced food products.</w:t>
      </w:r>
    </w:p>
    <w:p w14:paraId="283483A2" w14:textId="77777777" w:rsidR="0068779F" w:rsidRPr="00E53977" w:rsidRDefault="0068779F" w:rsidP="002771FB">
      <w:pPr>
        <w:pStyle w:val="Heading2"/>
        <w:widowControl w:val="0"/>
      </w:pPr>
      <w:bookmarkStart w:id="54" w:name="_Toc520906380"/>
      <w:bookmarkStart w:id="55" w:name="_Toc508180525"/>
      <w:r w:rsidRPr="00E53977">
        <w:t>Private Sector Response to Food Safety Reforms</w:t>
      </w:r>
      <w:bookmarkEnd w:id="54"/>
    </w:p>
    <w:p w14:paraId="01AA9CF2" w14:textId="77777777" w:rsidR="0068779F" w:rsidRPr="00E53977" w:rsidRDefault="0068779F" w:rsidP="002771FB">
      <w:pPr>
        <w:pStyle w:val="Heading3"/>
      </w:pPr>
      <w:r w:rsidRPr="00E53977">
        <w:t xml:space="preserve">Observations from Expert Interviews </w:t>
      </w:r>
    </w:p>
    <w:p w14:paraId="6859C8E1" w14:textId="39CDA40E" w:rsidR="0068779F" w:rsidRPr="00E53977" w:rsidRDefault="0068779F" w:rsidP="002771FB">
      <w:pPr>
        <w:widowControl w:val="0"/>
        <w:spacing w:line="240" w:lineRule="auto"/>
      </w:pPr>
      <w:r w:rsidRPr="00E53977">
        <w:t xml:space="preserve">According to respondents, obtaining international certification is demand-driven, based on the requirements of high-value </w:t>
      </w:r>
      <w:r w:rsidR="000874EC" w:rsidRPr="00E53977">
        <w:t xml:space="preserve">export </w:t>
      </w:r>
      <w:r w:rsidRPr="00E53977">
        <w:t>market</w:t>
      </w:r>
      <w:r w:rsidR="000874EC" w:rsidRPr="00E53977">
        <w:t xml:space="preserve"> buyer</w:t>
      </w:r>
      <w:r w:rsidRPr="00E53977">
        <w:t>s. This implies that if an FBO is not exporting to a high-value market, there will be no market-based incentive for obtaining international certifications.</w:t>
      </w:r>
      <w:r w:rsidR="000874EC" w:rsidRPr="00E53977">
        <w:t xml:space="preserve"> R</w:t>
      </w:r>
      <w:r w:rsidRPr="00E53977">
        <w:t xml:space="preserve">espondents also mentioned that </w:t>
      </w:r>
      <w:r w:rsidR="000874EC" w:rsidRPr="00E53977">
        <w:t xml:space="preserve">international certification is not necessary </w:t>
      </w:r>
      <w:r w:rsidRPr="00E53977">
        <w:t>for the sale of food products in Georgia</w:t>
      </w:r>
      <w:r w:rsidR="00700E87" w:rsidRPr="00E53977">
        <w:t>; h</w:t>
      </w:r>
      <w:r w:rsidRPr="00E53977">
        <w:t xml:space="preserve">owever, it is necessary to be HACCP-compliant, which does not </w:t>
      </w:r>
      <w:r w:rsidR="00A928C5" w:rsidRPr="00E53977">
        <w:t xml:space="preserve">actually </w:t>
      </w:r>
      <w:r w:rsidRPr="00E53977">
        <w:t>require an official certification from an international certification body.</w:t>
      </w:r>
    </w:p>
    <w:p w14:paraId="577C58A9" w14:textId="162B9BA7" w:rsidR="0068779F" w:rsidRPr="00E53977" w:rsidRDefault="005B5228" w:rsidP="002771FB">
      <w:pPr>
        <w:widowControl w:val="0"/>
        <w:spacing w:line="240" w:lineRule="auto"/>
      </w:pPr>
      <w:r w:rsidRPr="00E53977">
        <w:t xml:space="preserve">Under the current system, </w:t>
      </w:r>
      <w:r w:rsidR="0068779F" w:rsidRPr="00E53977">
        <w:t>FBOs are deemed HACCP-compliant or not</w:t>
      </w:r>
      <w:r w:rsidRPr="00E53977">
        <w:t xml:space="preserve"> based on the inspection </w:t>
      </w:r>
      <w:r w:rsidRPr="00E53977">
        <w:lastRenderedPageBreak/>
        <w:t>results of the NFA</w:t>
      </w:r>
      <w:r w:rsidR="0068779F" w:rsidRPr="00E53977">
        <w:t>. Once deemed compliant, the FBOs have little motivation to invest further into food safety systems, since this would increase the overall cost of production and decrease profit margins. To understand this need for continuous improvement</w:t>
      </w:r>
      <w:r w:rsidR="00F87858" w:rsidRPr="00E53977">
        <w:t>,</w:t>
      </w:r>
      <w:r w:rsidR="0068779F" w:rsidRPr="00E53977">
        <w:t xml:space="preserve"> both </w:t>
      </w:r>
      <w:r w:rsidR="00F87858" w:rsidRPr="00E53977">
        <w:t xml:space="preserve">the NFA and </w:t>
      </w:r>
      <w:r w:rsidR="0068779F" w:rsidRPr="00E53977">
        <w:t>FBOs inspectors need to increase their knowledge and skills in implementing HACCP principles.</w:t>
      </w:r>
    </w:p>
    <w:p w14:paraId="586242C1" w14:textId="10DEC53C" w:rsidR="0068779F" w:rsidRPr="00E53977" w:rsidRDefault="0003469F" w:rsidP="002771FB">
      <w:pPr>
        <w:widowControl w:val="0"/>
        <w:spacing w:line="240" w:lineRule="auto"/>
      </w:pPr>
      <w:r w:rsidRPr="00E53977">
        <w:t>A</w:t>
      </w:r>
      <w:r w:rsidR="0068779F" w:rsidRPr="00E53977">
        <w:t xml:space="preserve">s evidenced by the results of the FBO survey conducted by NFA in December 2017, there are </w:t>
      </w:r>
      <w:r w:rsidRPr="00E53977">
        <w:t xml:space="preserve">many </w:t>
      </w:r>
      <w:r w:rsidR="0068779F" w:rsidRPr="00E53977">
        <w:t xml:space="preserve">FBOs </w:t>
      </w:r>
      <w:r w:rsidR="00F87858" w:rsidRPr="00E53977">
        <w:t>that</w:t>
      </w:r>
      <w:r w:rsidR="0068779F" w:rsidRPr="00E53977">
        <w:t xml:space="preserve"> have invested heavily in their food safety management systems and in </w:t>
      </w:r>
      <w:r w:rsidR="0073255D" w:rsidRPr="00E53977">
        <w:t xml:space="preserve">their own </w:t>
      </w:r>
      <w:r w:rsidR="0068779F" w:rsidRPr="00E53977">
        <w:t>public awareness campaigns to promote safe food practices</w:t>
      </w:r>
      <w:r w:rsidR="0073255D" w:rsidRPr="00E53977">
        <w:t xml:space="preserve"> for local consumers</w:t>
      </w:r>
      <w:r w:rsidR="0068779F" w:rsidRPr="00E53977">
        <w:t xml:space="preserve">. These FBOs </w:t>
      </w:r>
      <w:r w:rsidR="0073255D" w:rsidRPr="00E53977">
        <w:t>report they</w:t>
      </w:r>
      <w:r w:rsidR="0068779F" w:rsidRPr="00E53977">
        <w:t xml:space="preserve"> </w:t>
      </w:r>
      <w:r w:rsidR="00E35C64" w:rsidRPr="00E53977">
        <w:t>want</w:t>
      </w:r>
      <w:r w:rsidR="0068779F" w:rsidRPr="00E53977">
        <w:t xml:space="preserve"> the NFA </w:t>
      </w:r>
      <w:r w:rsidR="00E35C64" w:rsidRPr="00E53977">
        <w:t xml:space="preserve">to </w:t>
      </w:r>
      <w:r w:rsidR="0073255D" w:rsidRPr="00E53977">
        <w:t>increase their</w:t>
      </w:r>
      <w:r w:rsidR="0068779F" w:rsidRPr="00E53977">
        <w:t xml:space="preserve"> scope of control over more businesses to eliminate unfair competition, particularly over unregistered FBOs and small FBOs. </w:t>
      </w:r>
    </w:p>
    <w:p w14:paraId="4CA7CD84" w14:textId="77777777" w:rsidR="0068779F" w:rsidRPr="00E53977" w:rsidRDefault="0068779F" w:rsidP="002771FB">
      <w:pPr>
        <w:pStyle w:val="Heading3"/>
      </w:pPr>
      <w:r w:rsidRPr="00E53977">
        <w:t>Observations from NFA Survey on FBOs</w:t>
      </w:r>
    </w:p>
    <w:p w14:paraId="0ABBB9A4" w14:textId="5C9DDD55" w:rsidR="00DF2ED4" w:rsidRPr="00E53977" w:rsidRDefault="0068779F" w:rsidP="002771FB">
      <w:pPr>
        <w:widowControl w:val="0"/>
        <w:spacing w:line="240" w:lineRule="auto"/>
      </w:pPr>
      <w:r w:rsidRPr="00E53977">
        <w:rPr>
          <w:rFonts w:cs="Times New Roman"/>
          <w:szCs w:val="24"/>
        </w:rPr>
        <w:t>The NFA commissioned a cross-sectional survey of 268 registered FBOs on the progress and status of their food safety system in December 2017</w:t>
      </w:r>
      <w:r w:rsidR="006154DE" w:rsidRPr="00E53977">
        <w:rPr>
          <w:rFonts w:cs="Times New Roman"/>
          <w:szCs w:val="24"/>
        </w:rPr>
        <w:t>.</w:t>
      </w:r>
      <w:r w:rsidRPr="00E53977">
        <w:rPr>
          <w:rStyle w:val="FootnoteReference"/>
          <w:rFonts w:cs="Times New Roman"/>
          <w:szCs w:val="24"/>
        </w:rPr>
        <w:footnoteReference w:id="16"/>
      </w:r>
      <w:r w:rsidRPr="00E53977">
        <w:rPr>
          <w:rFonts w:cs="Times New Roman"/>
          <w:szCs w:val="24"/>
        </w:rPr>
        <w:t xml:space="preserve"> </w:t>
      </w:r>
      <w:r w:rsidRPr="00E53977">
        <w:t xml:space="preserve">The findings suggest that there is a generally positive attitude among FBOs about the food safety system, their knowledge of the regulations, and their own ability to understand the compliance regulations. However, the fact that only 2/3 of FBOs feel positive about their compliance efforts suggests that there is still a substantial gap in full compliance throughout the country. </w:t>
      </w:r>
    </w:p>
    <w:p w14:paraId="511645A9" w14:textId="0B2EBFD6" w:rsidR="0068779F" w:rsidRPr="00E53977" w:rsidRDefault="0068779F" w:rsidP="002771FB">
      <w:pPr>
        <w:widowControl w:val="0"/>
        <w:spacing w:line="240" w:lineRule="auto"/>
      </w:pPr>
      <w:r w:rsidRPr="00E53977">
        <w:t xml:space="preserve">According to survey results, the private sector is responding to regulatory requirements </w:t>
      </w:r>
      <w:r w:rsidR="004A2061" w:rsidRPr="00E53977">
        <w:t>by</w:t>
      </w:r>
      <w:r w:rsidRPr="00E53977">
        <w:t xml:space="preserve"> 22% of FBOs providing staff training in food safety,</w:t>
      </w:r>
      <w:r w:rsidR="004A2061" w:rsidRPr="00E53977">
        <w:t xml:space="preserve"> 65%</w:t>
      </w:r>
      <w:r w:rsidRPr="00E53977">
        <w:t xml:space="preserve"> investing in food safety by buying necessary equipment/machinery</w:t>
      </w:r>
      <w:r w:rsidR="004A2061" w:rsidRPr="00E53977">
        <w:t>,</w:t>
      </w:r>
      <w:r w:rsidRPr="00E53977">
        <w:t xml:space="preserve"> and </w:t>
      </w:r>
      <w:r w:rsidR="004A2061" w:rsidRPr="00E53977">
        <w:t xml:space="preserve">58% investing </w:t>
      </w:r>
      <w:r w:rsidRPr="00E53977">
        <w:t xml:space="preserve">in reconstruction of production facilities (58%). </w:t>
      </w:r>
      <w:r w:rsidR="004A2061" w:rsidRPr="00E53977">
        <w:t xml:space="preserve">Additionally, </w:t>
      </w:r>
      <w:r w:rsidRPr="00E53977">
        <w:t>13% of FBOs used consulting services, 7% opened or upgraded their own laboratory</w:t>
      </w:r>
      <w:r w:rsidR="004A2061" w:rsidRPr="00E53977">
        <w:t>,</w:t>
      </w:r>
      <w:r w:rsidRPr="00E53977">
        <w:t xml:space="preserve"> and 5% invested </w:t>
      </w:r>
      <w:r w:rsidR="00BD0846" w:rsidRPr="00E53977">
        <w:t>in</w:t>
      </w:r>
      <w:r w:rsidRPr="00E53977">
        <w:t xml:space="preserve"> obtain</w:t>
      </w:r>
      <w:r w:rsidR="00BD0846" w:rsidRPr="00E53977">
        <w:t>ing</w:t>
      </w:r>
      <w:r w:rsidRPr="00E53977">
        <w:t xml:space="preserve"> national/international certification</w:t>
      </w:r>
      <w:r w:rsidR="00BD0846" w:rsidRPr="00E53977">
        <w:t>s</w:t>
      </w:r>
      <w:r w:rsidRPr="00E53977">
        <w:t>.</w:t>
      </w:r>
      <w:r w:rsidR="00BD0846" w:rsidRPr="00E53977">
        <w:t xml:space="preserve"> </w:t>
      </w:r>
      <w:r w:rsidRPr="00E53977">
        <w:t>The results of these investments are evident in the increase of the number of FBOs being recognized, approved</w:t>
      </w:r>
      <w:r w:rsidR="00BD0846" w:rsidRPr="00E53977">
        <w:t>,</w:t>
      </w:r>
      <w:r w:rsidRPr="00E53977">
        <w:t xml:space="preserve"> and </w:t>
      </w:r>
      <w:r w:rsidR="00BD0846" w:rsidRPr="00E53977">
        <w:t xml:space="preserve">deemed </w:t>
      </w:r>
      <w:r w:rsidRPr="00E53977">
        <w:t>HACCP</w:t>
      </w:r>
      <w:r w:rsidR="00BD0846" w:rsidRPr="00E53977">
        <w:t>-</w:t>
      </w:r>
      <w:r w:rsidRPr="00E53977">
        <w:t>compliant by NFA.</w:t>
      </w:r>
    </w:p>
    <w:p w14:paraId="5E7B5011" w14:textId="25DA6023" w:rsidR="0068779F" w:rsidRPr="00E53977" w:rsidRDefault="0068779F" w:rsidP="002771FB">
      <w:pPr>
        <w:widowControl w:val="0"/>
        <w:spacing w:line="240" w:lineRule="auto"/>
      </w:pPr>
      <w:r w:rsidRPr="00E53977">
        <w:t xml:space="preserve">However, the results also indicate a low level of national (5%) and international certification (5%). Although not mandatory by legislation, </w:t>
      </w:r>
      <w:r w:rsidR="00B55C6B" w:rsidRPr="00E53977">
        <w:t xml:space="preserve">obtaining </w:t>
      </w:r>
      <w:r w:rsidRPr="00E53977">
        <w:t xml:space="preserve">formal certification is a marketing tool for FBOs </w:t>
      </w:r>
      <w:r w:rsidR="00B55C6B" w:rsidRPr="00E53977">
        <w:t xml:space="preserve">to </w:t>
      </w:r>
      <w:r w:rsidRPr="00E53977">
        <w:t>acquir</w:t>
      </w:r>
      <w:r w:rsidR="00B55C6B" w:rsidRPr="00E53977">
        <w:t>e</w:t>
      </w:r>
      <w:r w:rsidRPr="00E53977">
        <w:t xml:space="preserve"> more demanding customers and premium prices for </w:t>
      </w:r>
      <w:r w:rsidR="00E8031F" w:rsidRPr="00E53977">
        <w:t>sales</w:t>
      </w:r>
      <w:r w:rsidRPr="00E53977">
        <w:t xml:space="preserve">. </w:t>
      </w:r>
      <w:r w:rsidR="00E8031F" w:rsidRPr="00E53977">
        <w:t>Currently,</w:t>
      </w:r>
      <w:r w:rsidRPr="00E53977">
        <w:t xml:space="preserve"> there is not much demand for certificates among retailers</w:t>
      </w:r>
      <w:r w:rsidR="004D1C81" w:rsidRPr="00E53977">
        <w:t>,</w:t>
      </w:r>
      <w:r w:rsidRPr="00E53977">
        <w:t xml:space="preserve"> and the G</w:t>
      </w:r>
      <w:r w:rsidR="00BA0F73" w:rsidRPr="00E53977">
        <w:t>o</w:t>
      </w:r>
      <w:r w:rsidRPr="00E53977">
        <w:t xml:space="preserve">G </w:t>
      </w:r>
      <w:r w:rsidR="004D1C81" w:rsidRPr="00E53977">
        <w:t>is not</w:t>
      </w:r>
      <w:r w:rsidRPr="00E53977">
        <w:t xml:space="preserve"> very </w:t>
      </w:r>
      <w:r w:rsidR="004D1C81" w:rsidRPr="00E53977">
        <w:t>active</w:t>
      </w:r>
      <w:r w:rsidRPr="00E53977">
        <w:t xml:space="preserve"> in encouraging this </w:t>
      </w:r>
      <w:r w:rsidR="004D1C81" w:rsidRPr="00E53977">
        <w:t>outside of</w:t>
      </w:r>
      <w:r w:rsidRPr="00E53977">
        <w:t xml:space="preserve"> increasing public awareness during </w:t>
      </w:r>
      <w:r w:rsidR="004D1C81" w:rsidRPr="00E53977">
        <w:t>civic</w:t>
      </w:r>
      <w:r w:rsidRPr="00E53977">
        <w:t xml:space="preserve"> hall meetings</w:t>
      </w:r>
      <w:r w:rsidR="00E8031F" w:rsidRPr="00E53977">
        <w:t xml:space="preserve"> and other outreach activities</w:t>
      </w:r>
      <w:r w:rsidRPr="00E53977">
        <w:t>.</w:t>
      </w:r>
    </w:p>
    <w:p w14:paraId="3BBB76B1" w14:textId="77777777" w:rsidR="0068779F" w:rsidRPr="00E53977" w:rsidRDefault="0068779F" w:rsidP="002771FB">
      <w:pPr>
        <w:pStyle w:val="Heading3"/>
      </w:pPr>
      <w:r w:rsidRPr="00E53977">
        <w:t>Food Safety Consulting Services</w:t>
      </w:r>
    </w:p>
    <w:p w14:paraId="21C527F7" w14:textId="2F8F08CC" w:rsidR="0068779F" w:rsidRPr="00E53977" w:rsidRDefault="0068779F" w:rsidP="002771FB">
      <w:pPr>
        <w:widowControl w:val="0"/>
        <w:spacing w:line="240" w:lineRule="auto"/>
      </w:pPr>
      <w:r w:rsidRPr="00E53977">
        <w:t xml:space="preserve">The NFA’s Food Safety Department continues to provide fee-based consultations to FBOs at the Tbilisi HO and in the ROs. Total 341 consultations were provided for FBOs in 2017, 150 in FBO premises and 191 in the NFA Head Office. In addition, 10 active food safety consulting companies or private consultants provide services (7 were operational in 2016 and 3 more began operations in 2017). The variety and the level of sophistication of the services offered by private sector food safety consulting firms is improving, as is their capacity to conduct food safety audits for food safety certifications. </w:t>
      </w:r>
    </w:p>
    <w:p w14:paraId="10423400" w14:textId="33479592" w:rsidR="00E5186A" w:rsidRPr="00E53977" w:rsidRDefault="0068779F" w:rsidP="00603C3E">
      <w:pPr>
        <w:widowControl w:val="0"/>
        <w:spacing w:line="240" w:lineRule="auto"/>
      </w:pPr>
      <w:r w:rsidRPr="00E53977">
        <w:t>As mentioned also in prior EPF assessments, respondents claimed that the NFA’s consulting services and detailed recommendations made during or prior the inspection process tend to crowd out private sector firms that provide these services. Therefore,</w:t>
      </w:r>
      <w:r w:rsidR="008B2053" w:rsidRPr="00E53977">
        <w:t xml:space="preserve"> as indicated in the 2016 assessment,</w:t>
      </w:r>
      <w:r w:rsidRPr="00E53977">
        <w:t xml:space="preserve"> the NFA should avoid conflicts of interest by providing information on requirements only </w:t>
      </w:r>
      <w:r w:rsidR="008B2053" w:rsidRPr="00E53977">
        <w:t xml:space="preserve">to FBOs </w:t>
      </w:r>
      <w:r w:rsidRPr="00E53977">
        <w:t xml:space="preserve">and </w:t>
      </w:r>
      <w:r w:rsidR="008B2053" w:rsidRPr="00E53977">
        <w:t xml:space="preserve">should </w:t>
      </w:r>
      <w:r w:rsidRPr="00E53977">
        <w:t>not provide detailed recommendations that exceed legal requirements. FBO</w:t>
      </w:r>
      <w:r w:rsidR="008B2053" w:rsidRPr="00E53977">
        <w:t>s</w:t>
      </w:r>
      <w:r w:rsidRPr="00E53977">
        <w:t xml:space="preserve"> need to identify solutions to comply with regulations and submit </w:t>
      </w:r>
      <w:r w:rsidR="008B2053" w:rsidRPr="00E53977">
        <w:t>these</w:t>
      </w:r>
      <w:r w:rsidRPr="00E53977">
        <w:t xml:space="preserve"> to the NFA for approval during the inspection. This will reduce the burden on NFA staff and </w:t>
      </w:r>
      <w:r w:rsidRPr="00E53977">
        <w:lastRenderedPageBreak/>
        <w:t xml:space="preserve">provide opportunities for further development of private sector consulting services. </w:t>
      </w:r>
    </w:p>
    <w:p w14:paraId="726906DE" w14:textId="711902AC" w:rsidR="00B9071F" w:rsidRPr="00E53977" w:rsidRDefault="00417071" w:rsidP="002771FB">
      <w:pPr>
        <w:pStyle w:val="Heading2"/>
        <w:widowControl w:val="0"/>
      </w:pPr>
      <w:bookmarkStart w:id="56" w:name="_Toc520906381"/>
      <w:r w:rsidRPr="00E53977">
        <w:t>Public Awareness Among Consumers</w:t>
      </w:r>
      <w:bookmarkEnd w:id="56"/>
    </w:p>
    <w:p w14:paraId="42397373" w14:textId="671A6678" w:rsidR="00B9071F" w:rsidRPr="00E53977" w:rsidRDefault="00B9071F" w:rsidP="002771FB">
      <w:pPr>
        <w:pStyle w:val="Heading3"/>
      </w:pPr>
      <w:r w:rsidRPr="00E53977">
        <w:t xml:space="preserve">Survey </w:t>
      </w:r>
      <w:bookmarkEnd w:id="55"/>
      <w:r w:rsidR="0059308B" w:rsidRPr="00E53977">
        <w:t>Results</w:t>
      </w:r>
    </w:p>
    <w:p w14:paraId="310EE5E9" w14:textId="1CE306D1" w:rsidR="00B9071F" w:rsidRPr="00E53977" w:rsidRDefault="00B9071F" w:rsidP="002771FB">
      <w:pPr>
        <w:widowControl w:val="0"/>
        <w:spacing w:line="240" w:lineRule="auto"/>
      </w:pPr>
      <w:r w:rsidRPr="00E53977">
        <w:t>The NFA conducted a survey of 1,108 individual consumers in December 2017 as a follow-up to two prior surveys in 2013 and 2016.</w:t>
      </w:r>
      <w:r w:rsidR="000B1635" w:rsidRPr="00E53977">
        <w:rPr>
          <w:rStyle w:val="FootnoteReference"/>
        </w:rPr>
        <w:footnoteReference w:id="17"/>
      </w:r>
      <w:r w:rsidRPr="00E53977">
        <w:t xml:space="preserve"> A comparison of the surveys’ results indicates that consumer awareness of the GoG’s food safety system has increased from 22% in 2013</w:t>
      </w:r>
      <w:r w:rsidR="006F3A8B" w:rsidRPr="00E53977">
        <w:t xml:space="preserve"> </w:t>
      </w:r>
      <w:r w:rsidRPr="00E53977">
        <w:t xml:space="preserve">to 76% in 2017. Similarly, the number of respondents that claimed to know the NFA’s activities and role in the food safety system increased from 9% in 2013 to 30% in 2017. Compared </w:t>
      </w:r>
      <w:r w:rsidRPr="00E53977">
        <w:rPr>
          <w:sz w:val="23"/>
          <w:szCs w:val="23"/>
        </w:rPr>
        <w:t>to 2013, when 91% of respondents had not heard of the NFA, the results of the 2016 and 2017 surveys indicate that the NFA’s public awareness campaign has increased consumers’ recognition of the NFA as the GoG institution exercising the state control over the food safety system to 48% and 62% in 2016 and 2017, respectively.</w:t>
      </w:r>
    </w:p>
    <w:p w14:paraId="52D25064" w14:textId="220C69FF" w:rsidR="00E5186A" w:rsidRPr="00E53977" w:rsidRDefault="006F3A8B" w:rsidP="002771FB">
      <w:pPr>
        <w:widowControl w:val="0"/>
        <w:spacing w:line="240" w:lineRule="auto"/>
      </w:pPr>
      <w:r w:rsidRPr="00E53977">
        <w:t>Similarly</w:t>
      </w:r>
      <w:r w:rsidR="00B9071F" w:rsidRPr="00E53977">
        <w:t xml:space="preserve">, </w:t>
      </w:r>
      <w:r w:rsidR="00F16EDF" w:rsidRPr="00E53977">
        <w:t xml:space="preserve">the </w:t>
      </w:r>
      <w:r w:rsidR="00B9071F" w:rsidRPr="00E53977">
        <w:t xml:space="preserve">Dairy Georgia </w:t>
      </w:r>
      <w:r w:rsidR="00F16EDF" w:rsidRPr="00E53977">
        <w:t xml:space="preserve">Association </w:t>
      </w:r>
      <w:r w:rsidR="00B9071F" w:rsidRPr="00E53977">
        <w:t xml:space="preserve">conducted an Imeruli cheese survey in 2017, which found </w:t>
      </w:r>
      <w:r w:rsidR="00E72A78" w:rsidRPr="00E53977">
        <w:t xml:space="preserve">the </w:t>
      </w:r>
      <w:r w:rsidR="00B9071F" w:rsidRPr="00E53977">
        <w:t xml:space="preserve">public’s prevailing </w:t>
      </w:r>
      <w:r w:rsidR="0059306C" w:rsidRPr="00E53977">
        <w:t xml:space="preserve">perception </w:t>
      </w:r>
      <w:r w:rsidR="00B9071F" w:rsidRPr="00E53977">
        <w:t xml:space="preserve">that </w:t>
      </w:r>
      <w:r w:rsidR="003C1D8A" w:rsidRPr="00E53977">
        <w:t>all food safety activities are</w:t>
      </w:r>
      <w:r w:rsidR="00B9071F" w:rsidRPr="00E53977">
        <w:t xml:space="preserve"> under state control. Although not accurate, this demonstrates that consumers believe they can trust and be involved in the NFA’s monitoring and reporting process for violations. </w:t>
      </w:r>
    </w:p>
    <w:p w14:paraId="4CBC09AA" w14:textId="64CBA1A9" w:rsidR="00D07DAC" w:rsidRPr="00E53977" w:rsidRDefault="00D07DAC" w:rsidP="002771FB">
      <w:pPr>
        <w:pStyle w:val="Heading3"/>
      </w:pPr>
      <w:r w:rsidRPr="00E53977">
        <w:t>Observations from Focus Groups</w:t>
      </w:r>
    </w:p>
    <w:p w14:paraId="6D5DB55E" w14:textId="2F2D2365" w:rsidR="00B9071F" w:rsidRPr="00E53977" w:rsidRDefault="00B9071F" w:rsidP="002771FB">
      <w:pPr>
        <w:widowControl w:val="0"/>
        <w:spacing w:line="240" w:lineRule="auto"/>
      </w:pPr>
      <w:r w:rsidRPr="00E53977">
        <w:t xml:space="preserve">The participants of the 8 focus group discussions conducted by the 2017 EPF assessment had </w:t>
      </w:r>
      <w:r w:rsidR="00A40B28" w:rsidRPr="00E53977">
        <w:t>varying</w:t>
      </w:r>
      <w:r w:rsidRPr="00E53977">
        <w:t xml:space="preserve"> levels of knowledge on food safety. In general, awareness of the NFA hotline and food safety-related issues was very low </w:t>
      </w:r>
      <w:r w:rsidR="00A40B28" w:rsidRPr="00E53977">
        <w:t xml:space="preserve">across all </w:t>
      </w:r>
      <w:r w:rsidRPr="00E53977">
        <w:t>consumer</w:t>
      </w:r>
      <w:r w:rsidR="00A40B28" w:rsidRPr="00E53977">
        <w:t>s that</w:t>
      </w:r>
      <w:r w:rsidRPr="00E53977">
        <w:t xml:space="preserve"> participa</w:t>
      </w:r>
      <w:r w:rsidR="00A40B28" w:rsidRPr="00E53977">
        <w:t xml:space="preserve">ted. </w:t>
      </w:r>
      <w:r w:rsidR="00702718" w:rsidRPr="00E53977">
        <w:t xml:space="preserve">Still these participants suggested that FBOs (both unregistered or registered) found guilty of causing foodborne illnesses should be penalized with higher fines than </w:t>
      </w:r>
      <w:r w:rsidR="00107781" w:rsidRPr="00E53977">
        <w:t>current applied to deter future violations</w:t>
      </w:r>
      <w:r w:rsidR="00702718" w:rsidRPr="00E53977">
        <w:t xml:space="preserve">. </w:t>
      </w:r>
      <w:r w:rsidR="00107781" w:rsidRPr="00E53977">
        <w:t>On the other hand</w:t>
      </w:r>
      <w:r w:rsidRPr="00E53977">
        <w:t xml:space="preserve">, FBOs </w:t>
      </w:r>
      <w:r w:rsidR="00107781" w:rsidRPr="00E53977">
        <w:t xml:space="preserve">that participated in the focus groups </w:t>
      </w:r>
      <w:r w:rsidRPr="00E53977">
        <w:t>complained that the NFA’s website is not user</w:t>
      </w:r>
      <w:r w:rsidR="00107781" w:rsidRPr="00E53977">
        <w:t>-</w:t>
      </w:r>
      <w:r w:rsidRPr="00E53977">
        <w:t xml:space="preserve">friendly, </w:t>
      </w:r>
      <w:r w:rsidR="00107781" w:rsidRPr="00E53977">
        <w:t xml:space="preserve">making </w:t>
      </w:r>
      <w:r w:rsidRPr="00E53977">
        <w:t>it difficult to find information</w:t>
      </w:r>
      <w:r w:rsidR="00702718" w:rsidRPr="00E53977">
        <w:t xml:space="preserve"> they need</w:t>
      </w:r>
      <w:r w:rsidRPr="00E53977">
        <w:t xml:space="preserve">. </w:t>
      </w:r>
      <w:r w:rsidR="00A540BA" w:rsidRPr="00E53977">
        <w:t xml:space="preserve">These </w:t>
      </w:r>
      <w:r w:rsidRPr="00E53977">
        <w:t xml:space="preserve">FBOs were very concerned about unfair competition </w:t>
      </w:r>
      <w:r w:rsidR="00A540BA" w:rsidRPr="00E53977">
        <w:t xml:space="preserve">by </w:t>
      </w:r>
      <w:r w:rsidRPr="00E53977">
        <w:t>unregistered FBOs</w:t>
      </w:r>
      <w:r w:rsidR="00A540BA" w:rsidRPr="00E53977">
        <w:t>, suggesting</w:t>
      </w:r>
      <w:r w:rsidRPr="00E53977">
        <w:t xml:space="preserve"> that the NFA should </w:t>
      </w:r>
      <w:r w:rsidR="00A540BA" w:rsidRPr="00E53977">
        <w:t>prioritize</w:t>
      </w:r>
      <w:r w:rsidRPr="00E53977">
        <w:t xml:space="preserve"> enforcement of existing legislation </w:t>
      </w:r>
      <w:r w:rsidR="00A540BA" w:rsidRPr="00E53977">
        <w:t>before introducing new requirements</w:t>
      </w:r>
      <w:r w:rsidRPr="00E53977">
        <w:t>.</w:t>
      </w:r>
      <w:r w:rsidRPr="00E53977">
        <w:rPr>
          <w:rStyle w:val="FootnoteReference"/>
        </w:rPr>
        <w:footnoteReference w:id="18"/>
      </w:r>
    </w:p>
    <w:p w14:paraId="0D3A882F" w14:textId="18E10F32" w:rsidR="00D07DAC" w:rsidRPr="00E53977" w:rsidRDefault="00D07DAC" w:rsidP="002771FB">
      <w:pPr>
        <w:widowControl w:val="0"/>
        <w:spacing w:line="240" w:lineRule="auto"/>
      </w:pPr>
      <w:r w:rsidRPr="00E53977">
        <w:t xml:space="preserve">The focus groups identified an opportunity for the NFA to leverage consumer interest to </w:t>
      </w:r>
      <w:r w:rsidR="0059308B" w:rsidRPr="00E53977">
        <w:t>improve food safety systems in FBOs</w:t>
      </w:r>
      <w:r w:rsidRPr="00E53977">
        <w:t xml:space="preserve">, </w:t>
      </w:r>
      <w:r w:rsidR="0059308B" w:rsidRPr="00E53977">
        <w:t xml:space="preserve">with </w:t>
      </w:r>
      <w:r w:rsidRPr="00E53977">
        <w:t>many respondents stated that they are ready to be part of the demand-driven reform process (e.g., checking labels, asking about the traceability of products, etc.), but they need more information from the NFA on how to cooperate.</w:t>
      </w:r>
    </w:p>
    <w:p w14:paraId="3F03D3D4" w14:textId="6D4B0ED7" w:rsidR="00B9071F" w:rsidRPr="00E53977" w:rsidRDefault="007813CE" w:rsidP="002771FB">
      <w:pPr>
        <w:pStyle w:val="Heading3"/>
      </w:pPr>
      <w:bookmarkStart w:id="57" w:name="_Toc508180526"/>
      <w:r w:rsidRPr="00E53977">
        <w:t>NF</w:t>
      </w:r>
      <w:r w:rsidR="004B40F4" w:rsidRPr="00E53977">
        <w:t xml:space="preserve">A </w:t>
      </w:r>
      <w:r w:rsidR="00B9071F" w:rsidRPr="00E53977">
        <w:t>Response to Consumer Complaints</w:t>
      </w:r>
      <w:bookmarkEnd w:id="57"/>
    </w:p>
    <w:p w14:paraId="550EA3AD" w14:textId="6AA3732D" w:rsidR="00B9071F" w:rsidRPr="00E53977" w:rsidRDefault="00B9071F" w:rsidP="002771FB">
      <w:pPr>
        <w:widowControl w:val="0"/>
        <w:spacing w:line="240" w:lineRule="auto"/>
      </w:pPr>
      <w:r w:rsidRPr="00E53977">
        <w:t xml:space="preserve">In 2017, as part of the NFA’s public awareness activities, the nationwide consumer hotline was printed on the back of the receipts at several supermarkets. </w:t>
      </w:r>
      <w:r w:rsidR="006B6867" w:rsidRPr="00E53977">
        <w:t>Additionally</w:t>
      </w:r>
      <w:r w:rsidRPr="00E53977">
        <w:t xml:space="preserve">, the NFA </w:t>
      </w:r>
      <w:r w:rsidR="006536CD" w:rsidRPr="00E53977">
        <w:t xml:space="preserve">established an agreement </w:t>
      </w:r>
      <w:r w:rsidRPr="00E53977">
        <w:t xml:space="preserve">with the National Tourism Agency to produce and distribute stickers in restaurants and cafes throughout Georgia. </w:t>
      </w:r>
      <w:r w:rsidR="006B6867" w:rsidRPr="00E53977">
        <w:t>As a result, t</w:t>
      </w:r>
      <w:r w:rsidRPr="00E53977">
        <w:t xml:space="preserve">he NFA hotline received </w:t>
      </w:r>
      <w:r w:rsidR="006B6867" w:rsidRPr="00E53977">
        <w:t xml:space="preserve">a </w:t>
      </w:r>
      <w:r w:rsidRPr="00E53977">
        <w:t xml:space="preserve">significant increase of incoming calls during the </w:t>
      </w:r>
      <w:r w:rsidR="00B535D2" w:rsidRPr="00E53977">
        <w:t xml:space="preserve">outreach </w:t>
      </w:r>
      <w:r w:rsidRPr="00E53977">
        <w:t xml:space="preserve">campaign. </w:t>
      </w:r>
      <w:r w:rsidR="00FA3B04" w:rsidRPr="00E53977">
        <w:t>Specifically</w:t>
      </w:r>
      <w:r w:rsidRPr="00E53977">
        <w:t>, the NFA received 760 notifications</w:t>
      </w:r>
      <w:r w:rsidRPr="00E53977">
        <w:rPr>
          <w:b/>
        </w:rPr>
        <w:t xml:space="preserve"> </w:t>
      </w:r>
      <w:r w:rsidRPr="00E53977">
        <w:t>(697 phone messages from citizens, 30 from the NCDC, and 33 from other authorities). According to the NFA, every violation was properly handled and responded to according to legal requirements.</w:t>
      </w:r>
      <w:r w:rsidRPr="00E53977">
        <w:rPr>
          <w:rStyle w:val="FootnoteReference"/>
        </w:rPr>
        <w:footnoteReference w:id="19"/>
      </w:r>
    </w:p>
    <w:p w14:paraId="05A6FE38" w14:textId="77777777" w:rsidR="00FA3B04" w:rsidRPr="00E53977" w:rsidRDefault="00FA3B04" w:rsidP="002771FB">
      <w:pPr>
        <w:widowControl w:val="0"/>
        <w:spacing w:line="240" w:lineRule="auto"/>
      </w:pPr>
      <w:r w:rsidRPr="00E53977">
        <w:t xml:space="preserve">Based on this success in increasing the public’s awareness level, these campaigns should become a regular practice for the NFA. Similarly, the NFA should identify the next steps to build on these campaigns to increase their penetration into all Georgian markets to increase </w:t>
      </w:r>
      <w:r w:rsidRPr="00E53977">
        <w:lastRenderedPageBreak/>
        <w:t>awareness levels of the NFA’s activities, consumer rights, and the existence of the NFA hotline.</w:t>
      </w:r>
    </w:p>
    <w:p w14:paraId="6ED4CAD4" w14:textId="136FFAD2" w:rsidR="00B9071F" w:rsidRPr="00E53977" w:rsidRDefault="003C6690" w:rsidP="002771FB">
      <w:pPr>
        <w:widowControl w:val="0"/>
        <w:spacing w:line="240" w:lineRule="auto"/>
      </w:pPr>
      <w:r w:rsidRPr="00E53977">
        <w:t xml:space="preserve">There is a seasonal </w:t>
      </w:r>
      <w:r w:rsidR="00B9071F" w:rsidRPr="00E53977">
        <w:t xml:space="preserve">increase </w:t>
      </w:r>
      <w:r w:rsidRPr="00E53977">
        <w:t xml:space="preserve">in the number of </w:t>
      </w:r>
      <w:r w:rsidR="00B9071F" w:rsidRPr="00E53977">
        <w:t>notifications during summer months</w:t>
      </w:r>
      <w:r w:rsidRPr="00E53977">
        <w:t>, which</w:t>
      </w:r>
      <w:r w:rsidR="00B9071F" w:rsidRPr="00E53977">
        <w:t xml:space="preserve"> is partially caused by the higher summer temperatures making food storage and handling conditions more vulnerable than during cooler periods. The number of notifications is </w:t>
      </w:r>
      <w:r w:rsidRPr="00E53977">
        <w:t xml:space="preserve">highest </w:t>
      </w:r>
      <w:r w:rsidR="00B9071F" w:rsidRPr="00E53977">
        <w:t>in Tbilisi due to the high</w:t>
      </w:r>
      <w:r w:rsidRPr="00E53977">
        <w:t>er</w:t>
      </w:r>
      <w:r w:rsidR="00B9071F" w:rsidRPr="00E53977">
        <w:t xml:space="preserve"> awareness </w:t>
      </w:r>
      <w:r w:rsidRPr="00E53977">
        <w:t xml:space="preserve">level </w:t>
      </w:r>
      <w:r w:rsidR="00B9071F" w:rsidRPr="00E53977">
        <w:t xml:space="preserve">of Tbilisi consumers. </w:t>
      </w:r>
      <w:r w:rsidRPr="00E53977">
        <w:t>Additionally</w:t>
      </w:r>
      <w:r w:rsidR="00B9071F" w:rsidRPr="00E53977">
        <w:t xml:space="preserve">, the </w:t>
      </w:r>
      <w:r w:rsidRPr="00E53977">
        <w:t xml:space="preserve">largest </w:t>
      </w:r>
      <w:r w:rsidR="00B9071F" w:rsidRPr="00E53977">
        <w:t>number of tourists come to Tbilisi and Adjara</w:t>
      </w:r>
      <w:r w:rsidR="000D3E21" w:rsidRPr="00E53977">
        <w:t>,</w:t>
      </w:r>
      <w:r w:rsidR="00B9071F" w:rsidRPr="00E53977">
        <w:t xml:space="preserve"> which </w:t>
      </w:r>
      <w:r w:rsidR="000D3E21" w:rsidRPr="00E53977">
        <w:t>results in higher</w:t>
      </w:r>
      <w:r w:rsidR="00B9071F" w:rsidRPr="00E53977">
        <w:t xml:space="preserve"> notifications</w:t>
      </w:r>
      <w:r w:rsidR="000D3E21" w:rsidRPr="00E53977">
        <w:t xml:space="preserve"> for these regions</w:t>
      </w:r>
      <w:r w:rsidR="00B9071F" w:rsidRPr="00E53977">
        <w:t xml:space="preserve">. </w:t>
      </w:r>
      <w:r w:rsidR="000D3E21" w:rsidRPr="00E53977">
        <w:t>Furthermore, the m</w:t>
      </w:r>
      <w:r w:rsidR="00B9071F" w:rsidRPr="00E53977">
        <w:t>ajority of food processors and food sales are concentrated in Tbilisi and Adjara</w:t>
      </w:r>
      <w:r w:rsidR="000D3E21" w:rsidRPr="00E53977">
        <w:t>, which is another reason for the high occurrence in these two regions</w:t>
      </w:r>
      <w:r w:rsidR="00B9071F" w:rsidRPr="00E53977">
        <w:t>.</w:t>
      </w:r>
    </w:p>
    <w:p w14:paraId="1A0E7F52" w14:textId="514B1F4C" w:rsidR="00BF63AB" w:rsidRPr="00E53977" w:rsidRDefault="00697F9D" w:rsidP="002771FB">
      <w:pPr>
        <w:widowControl w:val="0"/>
        <w:spacing w:line="240" w:lineRule="auto"/>
      </w:pPr>
      <w:r w:rsidRPr="00E53977">
        <w:t>When considering the n</w:t>
      </w:r>
      <w:r w:rsidR="00B9071F" w:rsidRPr="00E53977">
        <w:t xml:space="preserve">otifications </w:t>
      </w:r>
      <w:r w:rsidRPr="00E53977">
        <w:t xml:space="preserve">based on the types of </w:t>
      </w:r>
      <w:r w:rsidR="00B9071F" w:rsidRPr="00E53977">
        <w:t>product</w:t>
      </w:r>
      <w:r w:rsidRPr="00E53977">
        <w:t xml:space="preserve">s reported as </w:t>
      </w:r>
      <w:r w:rsidR="008336FF" w:rsidRPr="00E53977">
        <w:t>“not safe” indicates that</w:t>
      </w:r>
      <w:r w:rsidR="00B9071F" w:rsidRPr="00E53977">
        <w:t xml:space="preserve"> meat</w:t>
      </w:r>
      <w:r w:rsidR="008336FF" w:rsidRPr="00E53977">
        <w:t xml:space="preserve"> products</w:t>
      </w:r>
      <w:r w:rsidR="00B9071F" w:rsidRPr="00E53977">
        <w:t xml:space="preserve">, ready-made food, bakery </w:t>
      </w:r>
      <w:r w:rsidR="008336FF" w:rsidRPr="00E53977">
        <w:t xml:space="preserve">items </w:t>
      </w:r>
      <w:r w:rsidR="00B9071F" w:rsidRPr="00E53977">
        <w:t>(including khachapuri), dairy</w:t>
      </w:r>
      <w:r w:rsidR="008336FF" w:rsidRPr="00E53977">
        <w:t xml:space="preserve"> products,</w:t>
      </w:r>
      <w:r w:rsidR="00B9071F" w:rsidRPr="00E53977">
        <w:t xml:space="preserve"> and confectionary </w:t>
      </w:r>
      <w:r w:rsidR="008336FF" w:rsidRPr="00E53977">
        <w:t>are the source of</w:t>
      </w:r>
      <w:r w:rsidR="00B9071F" w:rsidRPr="00E53977">
        <w:t xml:space="preserve"> most notifications. </w:t>
      </w:r>
      <w:r w:rsidR="00426CC8" w:rsidRPr="00E53977">
        <w:t>As such, t</w:t>
      </w:r>
      <w:r w:rsidR="00B15F2B" w:rsidRPr="00E53977">
        <w:t>he</w:t>
      </w:r>
      <w:r w:rsidR="00B9071F" w:rsidRPr="00E53977">
        <w:t xml:space="preserve"> NFA should adjust its risk-based</w:t>
      </w:r>
      <w:r w:rsidR="00426CC8" w:rsidRPr="00E53977">
        <w:t xml:space="preserve"> inspection</w:t>
      </w:r>
      <w:r w:rsidR="00B9071F" w:rsidRPr="00E53977">
        <w:t xml:space="preserve"> planning to </w:t>
      </w:r>
      <w:r w:rsidR="00B15F2B" w:rsidRPr="00E53977">
        <w:t xml:space="preserve">allocate </w:t>
      </w:r>
      <w:r w:rsidR="00B9071F" w:rsidRPr="00E53977">
        <w:t xml:space="preserve">more </w:t>
      </w:r>
      <w:r w:rsidR="00B15F2B" w:rsidRPr="00E53977">
        <w:t>resources</w:t>
      </w:r>
      <w:r w:rsidR="00B9071F" w:rsidRPr="00E53977">
        <w:t xml:space="preserve"> to </w:t>
      </w:r>
      <w:r w:rsidR="00B15F2B" w:rsidRPr="00E53977">
        <w:t>FBOs that produce and sell these food items</w:t>
      </w:r>
      <w:r w:rsidR="00B9071F" w:rsidRPr="00E53977">
        <w:t>.</w:t>
      </w:r>
    </w:p>
    <w:p w14:paraId="335397BA" w14:textId="43C915D3" w:rsidR="00F21927" w:rsidRPr="00E53977" w:rsidRDefault="00514A32" w:rsidP="002771FB">
      <w:pPr>
        <w:pStyle w:val="Heading2"/>
        <w:widowControl w:val="0"/>
      </w:pPr>
      <w:bookmarkStart w:id="58" w:name="_Toc520906382"/>
      <w:bookmarkStart w:id="59" w:name="_Toc508180548"/>
      <w:r w:rsidRPr="00E53977">
        <w:t xml:space="preserve">Engagement </w:t>
      </w:r>
      <w:r w:rsidR="000D77FD" w:rsidRPr="00E53977">
        <w:t>and</w:t>
      </w:r>
      <w:r w:rsidRPr="00E53977">
        <w:t xml:space="preserve"> Civil </w:t>
      </w:r>
      <w:r w:rsidR="000D77FD" w:rsidRPr="00E53977">
        <w:t>Participation</w:t>
      </w:r>
      <w:bookmarkEnd w:id="58"/>
    </w:p>
    <w:p w14:paraId="46E37AFE" w14:textId="6B0FDDD5" w:rsidR="00720965" w:rsidRPr="00E53977" w:rsidRDefault="00720965" w:rsidP="002771FB">
      <w:pPr>
        <w:pStyle w:val="Heading3"/>
      </w:pPr>
      <w:r w:rsidRPr="00E53977">
        <w:t>Civic Hall</w:t>
      </w:r>
      <w:r w:rsidR="009F6EB9" w:rsidRPr="00E53977">
        <w:t xml:space="preserve"> Public Forums</w:t>
      </w:r>
    </w:p>
    <w:p w14:paraId="680A7BF3" w14:textId="16CCB90A" w:rsidR="007A1506" w:rsidRPr="00E53977" w:rsidRDefault="00D615FC" w:rsidP="002771FB">
      <w:pPr>
        <w:widowControl w:val="0"/>
      </w:pPr>
      <w:r w:rsidRPr="00E53977">
        <w:rPr>
          <w:szCs w:val="24"/>
        </w:rPr>
        <w:t xml:space="preserve">Another important systemic issue is how </w:t>
      </w:r>
      <w:r w:rsidR="00C456E5" w:rsidRPr="00E53977">
        <w:rPr>
          <w:szCs w:val="24"/>
        </w:rPr>
        <w:t xml:space="preserve">civil society organizations (CSO) interact with the GoG and consumers to </w:t>
      </w:r>
      <w:r w:rsidR="007A1506" w:rsidRPr="00E53977">
        <w:rPr>
          <w:szCs w:val="24"/>
        </w:rPr>
        <w:t xml:space="preserve">facilitate engagement with consumers and the inclusion of their perspectives in reforms, while </w:t>
      </w:r>
      <w:r w:rsidR="00B7047A" w:rsidRPr="00E53977">
        <w:rPr>
          <w:szCs w:val="24"/>
        </w:rPr>
        <w:t xml:space="preserve">also </w:t>
      </w:r>
      <w:r w:rsidR="007A1506" w:rsidRPr="00E53977">
        <w:rPr>
          <w:szCs w:val="24"/>
        </w:rPr>
        <w:t>lobbying to ensure protection of consumer health.</w:t>
      </w:r>
      <w:r w:rsidR="00B7047A" w:rsidRPr="00E53977">
        <w:rPr>
          <w:szCs w:val="24"/>
        </w:rPr>
        <w:t xml:space="preserve"> CSOs also work within local communities to raise awareness of consumer rights, particularly </w:t>
      </w:r>
      <w:r w:rsidR="00701104" w:rsidRPr="00E53977">
        <w:rPr>
          <w:szCs w:val="24"/>
        </w:rPr>
        <w:t>related to food safety and consumer health.</w:t>
      </w:r>
    </w:p>
    <w:p w14:paraId="16C72FBD" w14:textId="27B1898A" w:rsidR="00330307" w:rsidRPr="00E53977" w:rsidRDefault="00316A73" w:rsidP="002771FB">
      <w:pPr>
        <w:widowControl w:val="0"/>
        <w:spacing w:line="240" w:lineRule="auto"/>
        <w:rPr>
          <w:highlight w:val="yellow"/>
        </w:rPr>
      </w:pPr>
      <w:r w:rsidRPr="00E53977">
        <w:rPr>
          <w:rFonts w:cs="Times New Roman"/>
          <w:szCs w:val="24"/>
        </w:rPr>
        <w:t xml:space="preserve">In Georgia, CSOs have </w:t>
      </w:r>
      <w:r w:rsidR="00027B9E" w:rsidRPr="00E53977">
        <w:rPr>
          <w:rFonts w:cs="Times New Roman"/>
          <w:szCs w:val="24"/>
        </w:rPr>
        <w:t xml:space="preserve">long </w:t>
      </w:r>
      <w:r w:rsidRPr="00E53977">
        <w:rPr>
          <w:rFonts w:cs="Times New Roman"/>
          <w:szCs w:val="24"/>
        </w:rPr>
        <w:t xml:space="preserve">been </w:t>
      </w:r>
      <w:r w:rsidR="005041DE" w:rsidRPr="00E53977">
        <w:rPr>
          <w:rFonts w:cs="Times New Roman"/>
          <w:szCs w:val="24"/>
        </w:rPr>
        <w:t>actively involved in the GoG’s reform agenda, particularly through representing consumers’ interests in the civic hall public forums hosted by the NFA.</w:t>
      </w:r>
      <w:r w:rsidR="00027B9E" w:rsidRPr="00E53977">
        <w:rPr>
          <w:rFonts w:cs="Times New Roman"/>
          <w:szCs w:val="24"/>
        </w:rPr>
        <w:t xml:space="preserve"> As highlighted in the 2016 assessment, these civic halls were created by the NFA in collaboration with CSOs</w:t>
      </w:r>
      <w:r w:rsidR="00D11F1E" w:rsidRPr="00E53977">
        <w:rPr>
          <w:rFonts w:cs="Times New Roman"/>
          <w:szCs w:val="24"/>
        </w:rPr>
        <w:t>, as a forum to represent consumers rights throughout the food safety reform and legal approximation processes.</w:t>
      </w:r>
      <w:r w:rsidR="00330307" w:rsidRPr="00E53977">
        <w:rPr>
          <w:rFonts w:cs="Times New Roman"/>
          <w:szCs w:val="24"/>
        </w:rPr>
        <w:t xml:space="preserve"> </w:t>
      </w:r>
      <w:r w:rsidR="00F85FFF" w:rsidRPr="00E53977">
        <w:rPr>
          <w:rFonts w:cs="Times New Roman"/>
          <w:szCs w:val="24"/>
        </w:rPr>
        <w:t>Additionally</w:t>
      </w:r>
      <w:r w:rsidR="00330307" w:rsidRPr="00E53977">
        <w:rPr>
          <w:rFonts w:cs="Times New Roman"/>
          <w:szCs w:val="24"/>
        </w:rPr>
        <w:t>, t</w:t>
      </w:r>
      <w:r w:rsidR="00DB6398" w:rsidRPr="00E53977">
        <w:t xml:space="preserve">he NFA </w:t>
      </w:r>
      <w:r w:rsidR="00D11F1E" w:rsidRPr="00E53977">
        <w:t>collect</w:t>
      </w:r>
      <w:r w:rsidR="00330307" w:rsidRPr="00E53977">
        <w:t>s</w:t>
      </w:r>
      <w:r w:rsidR="00D11F1E" w:rsidRPr="00E53977">
        <w:t xml:space="preserve"> input from all stakeholders through public-private dialogue</w:t>
      </w:r>
      <w:r w:rsidR="00330307" w:rsidRPr="00E53977">
        <w:t xml:space="preserve"> within these civic halls</w:t>
      </w:r>
      <w:r w:rsidR="00D11F1E" w:rsidRPr="00E53977">
        <w:t xml:space="preserve">. </w:t>
      </w:r>
    </w:p>
    <w:p w14:paraId="6FB56EDF" w14:textId="57F6FCB1" w:rsidR="00B16496" w:rsidRPr="00E53977" w:rsidRDefault="00D11F1E" w:rsidP="002771FB">
      <w:pPr>
        <w:widowControl w:val="0"/>
        <w:spacing w:line="240" w:lineRule="auto"/>
      </w:pPr>
      <w:r w:rsidRPr="00E53977">
        <w:t xml:space="preserve">Although the number of civic hall meetings did not increase, </w:t>
      </w:r>
      <w:r w:rsidR="00B16496" w:rsidRPr="00E53977">
        <w:t xml:space="preserve">respondents reported that </w:t>
      </w:r>
      <w:r w:rsidRPr="00E53977">
        <w:t>the meetings organized in 2017 were more structured</w:t>
      </w:r>
      <w:r w:rsidR="00AE2BC9" w:rsidRPr="00E53977">
        <w:t xml:space="preserve">, with the agenda initially covering </w:t>
      </w:r>
      <w:r w:rsidRPr="00E53977">
        <w:t>general issues</w:t>
      </w:r>
      <w:r w:rsidR="00AE2BC9" w:rsidRPr="00E53977">
        <w:t>, followed by group sessions focused on</w:t>
      </w:r>
      <w:r w:rsidRPr="00E53977">
        <w:t xml:space="preserve"> food safety, veterinary and phytosanitary </w:t>
      </w:r>
      <w:r w:rsidR="00AE2BC9" w:rsidRPr="00E53977">
        <w:t>issues. This has allowed stakeholders to participate</w:t>
      </w:r>
      <w:r w:rsidRPr="00E53977">
        <w:t xml:space="preserve"> according to their interest and specific agendas. </w:t>
      </w:r>
    </w:p>
    <w:p w14:paraId="59A562D4" w14:textId="77777777" w:rsidR="009D679B" w:rsidRPr="00E53977" w:rsidRDefault="00E24E3B" w:rsidP="002771FB">
      <w:pPr>
        <w:pStyle w:val="CommentText"/>
        <w:widowControl w:val="0"/>
      </w:pPr>
      <w:r w:rsidRPr="00E53977">
        <w:t>Despite these improvements</w:t>
      </w:r>
      <w:r w:rsidR="00396D9E" w:rsidRPr="00E53977">
        <w:t>, there is</w:t>
      </w:r>
      <w:r w:rsidRPr="00E53977">
        <w:t xml:space="preserve"> still</w:t>
      </w:r>
      <w:r w:rsidR="00396D9E" w:rsidRPr="00E53977">
        <w:t xml:space="preserve"> a need to improve these civic halls to ensure </w:t>
      </w:r>
      <w:r w:rsidRPr="00E53977">
        <w:t xml:space="preserve">greater participation and geographical coverage. </w:t>
      </w:r>
      <w:r w:rsidR="009D679B" w:rsidRPr="00E53977">
        <w:t xml:space="preserve">Recommendations include: </w:t>
      </w:r>
    </w:p>
    <w:p w14:paraId="4434CA04" w14:textId="77777777" w:rsidR="009652BA" w:rsidRPr="00E53977" w:rsidRDefault="009D679B" w:rsidP="002771FB">
      <w:pPr>
        <w:pStyle w:val="List1"/>
      </w:pPr>
      <w:r w:rsidRPr="00E53977">
        <w:t>W</w:t>
      </w:r>
      <w:r w:rsidR="00E24E3B" w:rsidRPr="00E53977">
        <w:t>ith 19 normative acts approximated in 2017, it is clear that only</w:t>
      </w:r>
      <w:r w:rsidR="007F29C2" w:rsidRPr="00E53977">
        <w:t xml:space="preserve"> 3 civic halls </w:t>
      </w:r>
      <w:r w:rsidR="00EC348B" w:rsidRPr="00E53977">
        <w:t>are</w:t>
      </w:r>
      <w:r w:rsidR="007F29C2" w:rsidRPr="00E53977">
        <w:t xml:space="preserve"> insufficient to provide stakeholders the information they need on upcoming legislative changes or to provide input on how the new legislation should be designed</w:t>
      </w:r>
      <w:r w:rsidR="00EC348B" w:rsidRPr="00E53977">
        <w:t>. Therefore, the NFA should increase the number of civic halls to</w:t>
      </w:r>
      <w:r w:rsidR="00022B8E" w:rsidRPr="00E53977">
        <w:t xml:space="preserve"> engage CSOs, business associations, FBOs, consumers, and other stakeholders on all approximated acts</w:t>
      </w:r>
      <w:r w:rsidR="00233E5F" w:rsidRPr="00E53977">
        <w:t>, particularly for those that will have major impacts and implications for compliance and enforcement.</w:t>
      </w:r>
    </w:p>
    <w:p w14:paraId="6F499156" w14:textId="2077DFBE" w:rsidR="009652BA" w:rsidRPr="00E53977" w:rsidRDefault="00A769E1" w:rsidP="002771FB">
      <w:pPr>
        <w:pStyle w:val="List1"/>
      </w:pPr>
      <w:r w:rsidRPr="00E53977">
        <w:t>As t</w:t>
      </w:r>
      <w:r w:rsidR="00C04A1E" w:rsidRPr="00E53977">
        <w:t xml:space="preserve">he civic halls are only hosted in Tbilisi, the NFA should also </w:t>
      </w:r>
      <w:r w:rsidR="007611D7" w:rsidRPr="00E53977">
        <w:t xml:space="preserve">host </w:t>
      </w:r>
      <w:r w:rsidRPr="00E53977">
        <w:t>them</w:t>
      </w:r>
      <w:r w:rsidR="007611D7" w:rsidRPr="00E53977">
        <w:t xml:space="preserve"> in </w:t>
      </w:r>
      <w:r w:rsidR="004510CE" w:rsidRPr="00E53977">
        <w:t>the regions</w:t>
      </w:r>
      <w:r w:rsidR="007611D7" w:rsidRPr="00E53977">
        <w:t xml:space="preserve"> where </w:t>
      </w:r>
      <w:r w:rsidR="004510CE" w:rsidRPr="00E53977">
        <w:t>high</w:t>
      </w:r>
      <w:r w:rsidR="007611D7" w:rsidRPr="00E53977">
        <w:t xml:space="preserve"> concentrations of FBOs</w:t>
      </w:r>
      <w:r w:rsidR="009652BA" w:rsidRPr="00E53977">
        <w:t xml:space="preserve"> will be affected by new </w:t>
      </w:r>
      <w:r w:rsidR="006426AF" w:rsidRPr="00E53977">
        <w:t>regulations</w:t>
      </w:r>
      <w:r w:rsidR="007611D7" w:rsidRPr="00E53977">
        <w:t>.</w:t>
      </w:r>
      <w:r w:rsidR="008C41E2" w:rsidRPr="00E53977">
        <w:t xml:space="preserve"> </w:t>
      </w:r>
    </w:p>
    <w:p w14:paraId="392B1106" w14:textId="695D1FEB" w:rsidR="00396D9E" w:rsidRPr="00E53977" w:rsidRDefault="00121E2F" w:rsidP="002771FB">
      <w:pPr>
        <w:pStyle w:val="List1"/>
      </w:pPr>
      <w:r w:rsidRPr="00E53977">
        <w:t>The NFA should give sufficient advance notice to CSOs, FBOs, and other stakeholders to schedule accordingly, conduct their initial analysis, and develop their comments and inputs prior to the civic halls.</w:t>
      </w:r>
    </w:p>
    <w:p w14:paraId="54C4A330" w14:textId="7C814338" w:rsidR="00396D9E" w:rsidRPr="00E53977" w:rsidRDefault="00E82146" w:rsidP="002771FB">
      <w:pPr>
        <w:pStyle w:val="List1"/>
      </w:pPr>
      <w:r w:rsidRPr="00E53977">
        <w:t>A</w:t>
      </w:r>
      <w:r w:rsidR="00E52519" w:rsidRPr="00E53977">
        <w:t xml:space="preserve">s the approximation process is very complex and </w:t>
      </w:r>
      <w:r w:rsidR="00936D9D" w:rsidRPr="00E53977">
        <w:t xml:space="preserve">evolves from year to year, the NFA should ensure that all participants understand the </w:t>
      </w:r>
      <w:r w:rsidR="00396D9E" w:rsidRPr="00E53977">
        <w:t>connection</w:t>
      </w:r>
      <w:r w:rsidR="00936D9D" w:rsidRPr="00E53977">
        <w:t>s</w:t>
      </w:r>
      <w:r w:rsidR="00396D9E" w:rsidRPr="00E53977">
        <w:t xml:space="preserve"> between the different acts</w:t>
      </w:r>
      <w:r w:rsidR="00936D9D" w:rsidRPr="00E53977">
        <w:t xml:space="preserve"> being harmonized</w:t>
      </w:r>
      <w:r w:rsidR="00892CE9" w:rsidRPr="00E53977">
        <w:t xml:space="preserve"> from the current year and from prior years</w:t>
      </w:r>
      <w:r w:rsidR="00396D9E" w:rsidRPr="00E53977">
        <w:t>.</w:t>
      </w:r>
    </w:p>
    <w:p w14:paraId="4C43611F" w14:textId="4AE7FD41" w:rsidR="00316A73" w:rsidRPr="00E53977" w:rsidRDefault="00C07E8D" w:rsidP="002771FB">
      <w:pPr>
        <w:widowControl w:val="0"/>
        <w:spacing w:line="240" w:lineRule="auto"/>
        <w:rPr>
          <w:rFonts w:cs="Times New Roman"/>
          <w:szCs w:val="24"/>
        </w:rPr>
      </w:pPr>
      <w:r w:rsidRPr="00E53977">
        <w:rPr>
          <w:rFonts w:cs="Times New Roman"/>
          <w:szCs w:val="24"/>
        </w:rPr>
        <w:lastRenderedPageBreak/>
        <w:t>These recommended changes will also help to ensure that CSOs are able to lobby</w:t>
      </w:r>
      <w:r w:rsidR="00316A73" w:rsidRPr="00E53977">
        <w:rPr>
          <w:rFonts w:cs="Times New Roman"/>
          <w:szCs w:val="24"/>
        </w:rPr>
        <w:t xml:space="preserve"> the GoG to </w:t>
      </w:r>
      <w:r w:rsidRPr="00E53977">
        <w:rPr>
          <w:rFonts w:cs="Times New Roman"/>
          <w:szCs w:val="24"/>
        </w:rPr>
        <w:t>maintain</w:t>
      </w:r>
      <w:r w:rsidR="00316A73" w:rsidRPr="00E53977">
        <w:rPr>
          <w:rFonts w:cs="Times New Roman"/>
          <w:szCs w:val="24"/>
        </w:rPr>
        <w:t xml:space="preserve"> food safety high in </w:t>
      </w:r>
      <w:r w:rsidRPr="00E53977">
        <w:rPr>
          <w:rFonts w:cs="Times New Roman"/>
          <w:szCs w:val="24"/>
        </w:rPr>
        <w:t xml:space="preserve">the </w:t>
      </w:r>
      <w:r w:rsidR="00316A73" w:rsidRPr="00E53977">
        <w:rPr>
          <w:rFonts w:cs="Times New Roman"/>
          <w:szCs w:val="24"/>
        </w:rPr>
        <w:t>political agenda, monitoring the success of the reforms at the GoG level</w:t>
      </w:r>
      <w:r w:rsidR="009D679B" w:rsidRPr="00E53977">
        <w:rPr>
          <w:rFonts w:cs="Times New Roman"/>
          <w:szCs w:val="24"/>
        </w:rPr>
        <w:t xml:space="preserve"> and</w:t>
      </w:r>
      <w:r w:rsidR="00316A73" w:rsidRPr="00E53977">
        <w:rPr>
          <w:rFonts w:cs="Times New Roman"/>
          <w:szCs w:val="24"/>
        </w:rPr>
        <w:t xml:space="preserve"> the </w:t>
      </w:r>
      <w:r w:rsidR="009D679B" w:rsidRPr="00E53977">
        <w:rPr>
          <w:rFonts w:cs="Times New Roman"/>
          <w:szCs w:val="24"/>
        </w:rPr>
        <w:t>improvements to the</w:t>
      </w:r>
      <w:r w:rsidR="00316A73" w:rsidRPr="00E53977">
        <w:rPr>
          <w:rFonts w:cs="Times New Roman"/>
          <w:szCs w:val="24"/>
        </w:rPr>
        <w:t xml:space="preserve"> food safety </w:t>
      </w:r>
      <w:r w:rsidR="009D679B" w:rsidRPr="00E53977">
        <w:rPr>
          <w:rFonts w:cs="Times New Roman"/>
          <w:szCs w:val="24"/>
        </w:rPr>
        <w:t xml:space="preserve">system </w:t>
      </w:r>
      <w:r w:rsidR="00316A73" w:rsidRPr="00E53977">
        <w:rPr>
          <w:rFonts w:cs="Times New Roman"/>
          <w:szCs w:val="24"/>
        </w:rPr>
        <w:t>at the consumer level.</w:t>
      </w:r>
    </w:p>
    <w:p w14:paraId="40EB75AA" w14:textId="55D28449" w:rsidR="009F6EB9" w:rsidRPr="00E53977" w:rsidRDefault="009F6EB9" w:rsidP="002771FB">
      <w:pPr>
        <w:pStyle w:val="Heading3"/>
      </w:pPr>
      <w:r w:rsidRPr="00E53977">
        <w:t xml:space="preserve">CSO Activities </w:t>
      </w:r>
    </w:p>
    <w:p w14:paraId="2A722B5B" w14:textId="6E950E96" w:rsidR="00B61DB4" w:rsidRPr="00E53977" w:rsidRDefault="0090050B" w:rsidP="002771FB">
      <w:pPr>
        <w:widowControl w:val="0"/>
      </w:pPr>
      <w:r w:rsidRPr="00E53977">
        <w:t xml:space="preserve">In Georgia, CSOs do not receive public financing </w:t>
      </w:r>
      <w:r w:rsidR="00C768F8" w:rsidRPr="00E53977">
        <w:t xml:space="preserve">for food safety reform activities </w:t>
      </w:r>
      <w:r w:rsidRPr="00E53977">
        <w:t>from the Go</w:t>
      </w:r>
      <w:r w:rsidR="00C768F8" w:rsidRPr="00E53977">
        <w:t xml:space="preserve">G. Unfortunately, with very limited private financing, the </w:t>
      </w:r>
      <w:r w:rsidR="00E37064" w:rsidRPr="00E53977">
        <w:t xml:space="preserve">primary source of financing CSO activities originates from the </w:t>
      </w:r>
      <w:r w:rsidR="00C768F8" w:rsidRPr="00E53977">
        <w:t xml:space="preserve">international donor </w:t>
      </w:r>
      <w:r w:rsidR="00E37064" w:rsidRPr="00E53977">
        <w:t>community.</w:t>
      </w:r>
      <w:r w:rsidR="00A769E1" w:rsidRPr="00E53977">
        <w:t xml:space="preserve"> </w:t>
      </w:r>
      <w:r w:rsidR="009E06D9" w:rsidRPr="00E53977">
        <w:t>According to one CSO interviewed, the donor community is not interested in providing funding for CSOs to lobby the GoG on behalf of consumers</w:t>
      </w:r>
      <w:r w:rsidR="00040A2B" w:rsidRPr="00E53977">
        <w:t xml:space="preserve">, which was reflected by lower funding opportunities in 2017. </w:t>
      </w:r>
      <w:r w:rsidR="00B86A79" w:rsidRPr="00E53977">
        <w:t>However, a</w:t>
      </w:r>
      <w:r w:rsidR="00040A2B" w:rsidRPr="00E53977">
        <w:t xml:space="preserve">nother CSO, </w:t>
      </w:r>
      <w:r w:rsidR="00B86A79" w:rsidRPr="00E53977">
        <w:t>with the support of donor financing, lobbied</w:t>
      </w:r>
      <w:r w:rsidR="00B61DB4" w:rsidRPr="00E53977">
        <w:t xml:space="preserve"> MEPA </w:t>
      </w:r>
      <w:r w:rsidR="00B86A79" w:rsidRPr="00E53977">
        <w:t>on</w:t>
      </w:r>
      <w:r w:rsidR="00B61DB4" w:rsidRPr="00E53977">
        <w:t xml:space="preserve"> improving </w:t>
      </w:r>
      <w:r w:rsidR="00040A2B" w:rsidRPr="00E53977">
        <w:t>animal movement veterinary checkpoints</w:t>
      </w:r>
      <w:r w:rsidR="001F511D" w:rsidRPr="00E53977">
        <w:t>.</w:t>
      </w:r>
    </w:p>
    <w:p w14:paraId="7089C992" w14:textId="5D64E51A" w:rsidR="00B61DB4" w:rsidRPr="00E53977" w:rsidRDefault="007F1DF2" w:rsidP="002771FB">
      <w:pPr>
        <w:widowControl w:val="0"/>
      </w:pPr>
      <w:r w:rsidRPr="00E53977">
        <w:t>Representatives reported that relationships with the NFA are open and professional and that the NFA’s respons</w:t>
      </w:r>
      <w:r w:rsidR="00272AA3" w:rsidRPr="00E53977">
        <w:t>e time</w:t>
      </w:r>
      <w:r w:rsidRPr="00E53977">
        <w:t xml:space="preserve"> to </w:t>
      </w:r>
      <w:r w:rsidR="00272AA3" w:rsidRPr="00E53977">
        <w:t>the reporting of food safety violations has improved. For example</w:t>
      </w:r>
      <w:r w:rsidR="003D63DC" w:rsidRPr="00E53977">
        <w:t>, o</w:t>
      </w:r>
      <w:r w:rsidR="00B61DB4" w:rsidRPr="00E53977">
        <w:t xml:space="preserve">ne CSO conducted 60 food safety laboratory analyses </w:t>
      </w:r>
      <w:r w:rsidR="00610F88" w:rsidRPr="00E53977">
        <w:t xml:space="preserve">in 2017 </w:t>
      </w:r>
      <w:r w:rsidR="00B61DB4" w:rsidRPr="00E53977">
        <w:t xml:space="preserve">in response to consumer requests. </w:t>
      </w:r>
      <w:r w:rsidR="00610F88" w:rsidRPr="00E53977">
        <w:t>U</w:t>
      </w:r>
      <w:r w:rsidR="00B61DB4" w:rsidRPr="00E53977">
        <w:t xml:space="preserve">pon identifying violations, </w:t>
      </w:r>
      <w:r w:rsidRPr="00E53977">
        <w:t>the CSO</w:t>
      </w:r>
      <w:r w:rsidR="00B61DB4" w:rsidRPr="00E53977">
        <w:t xml:space="preserve"> reported the violations to the NFA, and the NFA responded to these reports, sending inspectors to the FBO</w:t>
      </w:r>
      <w:r w:rsidR="00610F88" w:rsidRPr="00E53977">
        <w:t>’</w:t>
      </w:r>
      <w:r w:rsidR="00B61DB4" w:rsidRPr="00E53977">
        <w:t xml:space="preserve">s premises within 1-2 days. </w:t>
      </w:r>
    </w:p>
    <w:p w14:paraId="1329CF8C" w14:textId="49FC8146" w:rsidR="004C64CA" w:rsidRPr="00E53977" w:rsidRDefault="004C64CA" w:rsidP="002771FB">
      <w:pPr>
        <w:widowControl w:val="0"/>
      </w:pPr>
      <w:r w:rsidRPr="00E53977">
        <w:t xml:space="preserve">In prior years, </w:t>
      </w:r>
      <w:r w:rsidR="004A3DE9" w:rsidRPr="00E53977">
        <w:t>youth organizations had been involved</w:t>
      </w:r>
      <w:r w:rsidR="00CD54FD" w:rsidRPr="00E53977">
        <w:t xml:space="preserve"> in innovative public awareness activities related to improving the food safety system; however, 5 youth leaders interviewed reported that the</w:t>
      </w:r>
      <w:r w:rsidR="00495AAE" w:rsidRPr="00E53977">
        <w:t xml:space="preserve">y were not able to conduct any new projects in 2017 due to the lack of funding. </w:t>
      </w:r>
      <w:r w:rsidR="001A1D9D">
        <w:t>However,</w:t>
      </w:r>
      <w:r w:rsidR="00BC453B" w:rsidRPr="00BC453B">
        <w:t xml:space="preserve"> </w:t>
      </w:r>
      <w:r w:rsidR="001A1D9D">
        <w:t>there ha</w:t>
      </w:r>
      <w:r w:rsidR="00C644EF">
        <w:t>d</w:t>
      </w:r>
      <w:r w:rsidR="001A1D9D">
        <w:t xml:space="preserve"> been a few publicly announced small grant competitions on food safety issues</w:t>
      </w:r>
      <w:r w:rsidR="00C644EF">
        <w:t xml:space="preserve"> in 2017, but the hosting organization stated that they had received compatible proposals. </w:t>
      </w:r>
      <w:r w:rsidR="00495AAE" w:rsidRPr="00E53977">
        <w:t xml:space="preserve">They also reported they </w:t>
      </w:r>
      <w:r w:rsidR="000006D0" w:rsidRPr="00E53977">
        <w:t xml:space="preserve">remain </w:t>
      </w:r>
      <w:r w:rsidR="00544B2F" w:rsidRPr="00E53977">
        <w:t xml:space="preserve">enthusiastic and </w:t>
      </w:r>
      <w:r w:rsidR="000006D0" w:rsidRPr="00E53977">
        <w:t xml:space="preserve">committed to promoting food safety and </w:t>
      </w:r>
      <w:r w:rsidR="00495AAE" w:rsidRPr="00E53977">
        <w:t xml:space="preserve">would develop projects </w:t>
      </w:r>
      <w:r w:rsidR="00544B2F" w:rsidRPr="00E53977">
        <w:t xml:space="preserve">related to </w:t>
      </w:r>
      <w:r w:rsidR="00D527F9" w:rsidRPr="00E53977">
        <w:t>organiz</w:t>
      </w:r>
      <w:r w:rsidR="00544B2F" w:rsidRPr="00E53977">
        <w:t>ing</w:t>
      </w:r>
      <w:r w:rsidR="00D527F9" w:rsidRPr="00E53977">
        <w:t xml:space="preserve"> </w:t>
      </w:r>
      <w:r w:rsidR="00544B2F" w:rsidRPr="00E53977">
        <w:t xml:space="preserve">grassroots-based </w:t>
      </w:r>
      <w:r w:rsidR="00D527F9" w:rsidRPr="00E53977">
        <w:t>educational campaigns</w:t>
      </w:r>
      <w:r w:rsidR="000006D0" w:rsidRPr="00E53977">
        <w:t>, such as in the schools and in local municipalities</w:t>
      </w:r>
      <w:r w:rsidR="00544B2F" w:rsidRPr="00E53977">
        <w:t>,</w:t>
      </w:r>
      <w:r w:rsidR="00495AAE" w:rsidRPr="00E53977">
        <w:t xml:space="preserve"> if funding was available.</w:t>
      </w:r>
    </w:p>
    <w:p w14:paraId="7106D814" w14:textId="011A6D4B" w:rsidR="00B61DB4" w:rsidRPr="00E53977" w:rsidRDefault="00731839" w:rsidP="002771FB">
      <w:pPr>
        <w:widowControl w:val="0"/>
        <w:rPr>
          <w:lang w:eastAsia="ka-GE"/>
        </w:rPr>
      </w:pPr>
      <w:r w:rsidRPr="00E53977">
        <w:rPr>
          <w:rFonts w:cs="Times New Roman"/>
          <w:bCs/>
          <w:szCs w:val="24"/>
        </w:rPr>
        <w:t xml:space="preserve">As in </w:t>
      </w:r>
      <w:r w:rsidR="002823DD" w:rsidRPr="00E53977">
        <w:rPr>
          <w:rFonts w:cs="Times New Roman"/>
          <w:bCs/>
          <w:szCs w:val="24"/>
        </w:rPr>
        <w:t xml:space="preserve">2016, </w:t>
      </w:r>
      <w:r w:rsidR="00B61DB4" w:rsidRPr="00E53977">
        <w:rPr>
          <w:rFonts w:cs="Times New Roman"/>
          <w:bCs/>
          <w:szCs w:val="24"/>
        </w:rPr>
        <w:t xml:space="preserve">respondents </w:t>
      </w:r>
      <w:r w:rsidR="00BA0858" w:rsidRPr="00E53977">
        <w:rPr>
          <w:rFonts w:cs="Times New Roman"/>
          <w:bCs/>
          <w:szCs w:val="24"/>
        </w:rPr>
        <w:t xml:space="preserve">wanted </w:t>
      </w:r>
      <w:r w:rsidR="00B61DB4" w:rsidRPr="00E53977">
        <w:rPr>
          <w:rFonts w:cs="Times New Roman"/>
          <w:bCs/>
          <w:szCs w:val="24"/>
        </w:rPr>
        <w:t>the NFA to issue more detailed public announcements on violators and the related violations, which will allow consumers to not only make informed decisions related to purchases but also to apply public pressure on FBOs.</w:t>
      </w:r>
      <w:r w:rsidR="00DC1C5D" w:rsidRPr="00E53977">
        <w:rPr>
          <w:rFonts w:cs="Times New Roman"/>
          <w:bCs/>
          <w:szCs w:val="24"/>
        </w:rPr>
        <w:t xml:space="preserve"> For example, one CSO has been active in monitoring the NFA’s </w:t>
      </w:r>
      <w:r w:rsidR="00EA11DC" w:rsidRPr="00E53977">
        <w:rPr>
          <w:rFonts w:cs="Times New Roman"/>
          <w:bCs/>
          <w:szCs w:val="24"/>
        </w:rPr>
        <w:t>announcements</w:t>
      </w:r>
      <w:r w:rsidR="00DC1C5D" w:rsidRPr="00E53977">
        <w:rPr>
          <w:rFonts w:cs="Times New Roman"/>
          <w:bCs/>
          <w:szCs w:val="24"/>
        </w:rPr>
        <w:t xml:space="preserve"> regarding </w:t>
      </w:r>
      <w:r w:rsidR="00291DCC" w:rsidRPr="00E53977">
        <w:rPr>
          <w:rFonts w:cs="Times New Roman"/>
          <w:bCs/>
          <w:szCs w:val="24"/>
        </w:rPr>
        <w:t>unsafe food products</w:t>
      </w:r>
      <w:r w:rsidR="00EA11DC" w:rsidRPr="00E53977">
        <w:rPr>
          <w:rFonts w:cs="Times New Roman"/>
          <w:bCs/>
          <w:szCs w:val="24"/>
        </w:rPr>
        <w:t xml:space="preserve"> on the market</w:t>
      </w:r>
      <w:r w:rsidR="004C33ED" w:rsidRPr="00E53977">
        <w:rPr>
          <w:rFonts w:cs="Times New Roman"/>
          <w:bCs/>
          <w:szCs w:val="24"/>
        </w:rPr>
        <w:t xml:space="preserve"> since 2015</w:t>
      </w:r>
      <w:r w:rsidR="00291DCC" w:rsidRPr="00E53977">
        <w:rPr>
          <w:rFonts w:cs="Times New Roman"/>
          <w:bCs/>
          <w:szCs w:val="24"/>
        </w:rPr>
        <w:t xml:space="preserve">, noting </w:t>
      </w:r>
      <w:r w:rsidR="00EA11DC" w:rsidRPr="00E53977">
        <w:rPr>
          <w:rFonts w:cs="Times New Roman"/>
          <w:bCs/>
          <w:szCs w:val="24"/>
        </w:rPr>
        <w:t xml:space="preserve">the NFA </w:t>
      </w:r>
      <w:r w:rsidR="008E7B7C" w:rsidRPr="00E53977">
        <w:rPr>
          <w:rFonts w:cs="Times New Roman"/>
          <w:bCs/>
          <w:szCs w:val="24"/>
        </w:rPr>
        <w:t>only</w:t>
      </w:r>
      <w:r w:rsidR="00EA11DC" w:rsidRPr="00E53977">
        <w:rPr>
          <w:rFonts w:cs="Times New Roman"/>
          <w:bCs/>
          <w:szCs w:val="24"/>
        </w:rPr>
        <w:t xml:space="preserve"> </w:t>
      </w:r>
      <w:r w:rsidR="004C33ED" w:rsidRPr="00E53977">
        <w:rPr>
          <w:rFonts w:cs="Times New Roman"/>
          <w:bCs/>
          <w:szCs w:val="24"/>
        </w:rPr>
        <w:t>publicly announce</w:t>
      </w:r>
      <w:r w:rsidR="008E7B7C" w:rsidRPr="00E53977">
        <w:rPr>
          <w:rFonts w:cs="Times New Roman"/>
          <w:bCs/>
          <w:szCs w:val="24"/>
        </w:rPr>
        <w:t xml:space="preserve">d </w:t>
      </w:r>
      <w:r w:rsidR="00EA11DC" w:rsidRPr="00E53977">
        <w:rPr>
          <w:rFonts w:cs="Times New Roman"/>
          <w:bCs/>
          <w:szCs w:val="24"/>
        </w:rPr>
        <w:t>the producers and sellers of the spices on the Georgian market that had excessive levels of lead</w:t>
      </w:r>
      <w:r w:rsidR="008348E6" w:rsidRPr="00E53977">
        <w:rPr>
          <w:rFonts w:cs="Times New Roman"/>
          <w:bCs/>
          <w:szCs w:val="24"/>
        </w:rPr>
        <w:t xml:space="preserve"> in 4 of 33 cases</w:t>
      </w:r>
      <w:r w:rsidR="00EA11DC" w:rsidRPr="00E53977">
        <w:rPr>
          <w:rFonts w:cs="Times New Roman"/>
          <w:bCs/>
          <w:szCs w:val="24"/>
        </w:rPr>
        <w:t>.</w:t>
      </w:r>
      <w:r w:rsidR="00BA0858" w:rsidRPr="00E53977">
        <w:rPr>
          <w:rFonts w:cs="Times New Roman"/>
          <w:bCs/>
          <w:szCs w:val="24"/>
        </w:rPr>
        <w:t xml:space="preserve"> </w:t>
      </w:r>
    </w:p>
    <w:p w14:paraId="2FB24192" w14:textId="42E15E0C" w:rsidR="00CE1EF9" w:rsidRPr="00E53977" w:rsidRDefault="00C158CD" w:rsidP="002771FB">
      <w:pPr>
        <w:widowControl w:val="0"/>
      </w:pPr>
      <w:r w:rsidRPr="00E53977">
        <w:t>CSOs should c</w:t>
      </w:r>
      <w:r w:rsidR="00A87A3F" w:rsidRPr="00E53977">
        <w:t xml:space="preserve">oordinate </w:t>
      </w:r>
      <w:r w:rsidRPr="00E53977">
        <w:t>their activities</w:t>
      </w:r>
      <w:r w:rsidR="00EF2189" w:rsidRPr="00E53977">
        <w:t xml:space="preserve"> amongst each other and the donor community</w:t>
      </w:r>
      <w:r w:rsidRPr="00E53977">
        <w:t xml:space="preserve"> to complement </w:t>
      </w:r>
      <w:r w:rsidR="004510CE" w:rsidRPr="00E53977">
        <w:t xml:space="preserve">the NFA’s activities </w:t>
      </w:r>
      <w:r w:rsidR="007237A7" w:rsidRPr="00E53977">
        <w:t xml:space="preserve">related </w:t>
      </w:r>
      <w:r w:rsidR="00A87A3F" w:rsidRPr="00E53977">
        <w:t xml:space="preserve">to </w:t>
      </w:r>
      <w:r w:rsidR="007237A7" w:rsidRPr="00E53977">
        <w:t xml:space="preserve">consumer </w:t>
      </w:r>
      <w:r w:rsidR="00A87A3F" w:rsidRPr="00E53977">
        <w:t>educat</w:t>
      </w:r>
      <w:r w:rsidR="007237A7" w:rsidRPr="00E53977">
        <w:t>ion</w:t>
      </w:r>
      <w:r w:rsidR="00A87A3F" w:rsidRPr="00E53977">
        <w:t xml:space="preserve"> </w:t>
      </w:r>
      <w:r w:rsidR="004B25D1" w:rsidRPr="00E53977">
        <w:t>to maximize their</w:t>
      </w:r>
      <w:r w:rsidRPr="00E53977">
        <w:t xml:space="preserve"> </w:t>
      </w:r>
      <w:r w:rsidR="004B25D1" w:rsidRPr="00E53977">
        <w:t xml:space="preserve">impact in. This coordination could </w:t>
      </w:r>
      <w:r w:rsidR="00222FE8" w:rsidRPr="00E53977">
        <w:t xml:space="preserve">potentially </w:t>
      </w:r>
      <w:r w:rsidR="00D36767" w:rsidRPr="00E53977">
        <w:t xml:space="preserve">result </w:t>
      </w:r>
      <w:r w:rsidR="004B25D1" w:rsidRPr="00E53977">
        <w:t xml:space="preserve">in </w:t>
      </w:r>
      <w:r w:rsidR="00A87A3F" w:rsidRPr="00E53977">
        <w:t xml:space="preserve">create a </w:t>
      </w:r>
      <w:r w:rsidR="00222FE8" w:rsidRPr="00E53977">
        <w:t xml:space="preserve">consumer-driven demand for </w:t>
      </w:r>
      <w:r w:rsidR="00A87A3F" w:rsidRPr="00E53977">
        <w:t>FBOs</w:t>
      </w:r>
      <w:r w:rsidR="000D6E7F" w:rsidRPr="00E53977">
        <w:t xml:space="preserve"> to adopt compliant systems and procedures prior to the date of official enforcement. Similarly, CSOs activities’ can also </w:t>
      </w:r>
      <w:r w:rsidR="006D53E1" w:rsidRPr="00E53977">
        <w:t xml:space="preserve">facilitate an increase in the demand for “safe” food products produced by FBOs that invest in and implement food safety requirements, which would provide a financial incentive </w:t>
      </w:r>
      <w:r w:rsidR="00EF2189" w:rsidRPr="00E53977">
        <w:t>for FBOs to invest accordingly.</w:t>
      </w:r>
      <w:r w:rsidR="00693611" w:rsidRPr="00E53977">
        <w:t xml:space="preserve"> </w:t>
      </w:r>
      <w:r w:rsidR="002F4A48" w:rsidRPr="00E53977">
        <w:t xml:space="preserve">Another option to expand reach </w:t>
      </w:r>
      <w:r w:rsidR="00AB7E21" w:rsidRPr="00E53977">
        <w:t>and impact</w:t>
      </w:r>
      <w:r w:rsidR="00AB0E8B" w:rsidRPr="00E53977">
        <w:t xml:space="preserve">, </w:t>
      </w:r>
      <w:r w:rsidR="009A21C4" w:rsidRPr="00E53977">
        <w:t>CSOs can work with sector-based business associations</w:t>
      </w:r>
      <w:r w:rsidR="00C06316" w:rsidRPr="00E53977">
        <w:t xml:space="preserve"> (e.g., </w:t>
      </w:r>
      <w:r w:rsidR="009A21C4" w:rsidRPr="00E53977">
        <w:t xml:space="preserve">the Georgian Farmers Association, </w:t>
      </w:r>
      <w:r w:rsidR="00693611" w:rsidRPr="00E53977">
        <w:t>etc.)</w:t>
      </w:r>
      <w:r w:rsidR="00164D43" w:rsidRPr="00E53977">
        <w:t xml:space="preserve"> </w:t>
      </w:r>
      <w:r w:rsidR="00495AAE" w:rsidRPr="00E53977">
        <w:t>to leverage resources and impr</w:t>
      </w:r>
      <w:r w:rsidR="00F768E5" w:rsidRPr="00E53977">
        <w:t xml:space="preserve">ove the overall impact of their activities. </w:t>
      </w:r>
    </w:p>
    <w:p w14:paraId="5AE1B8F1" w14:textId="008DC80D" w:rsidR="00B021D9" w:rsidRDefault="00B021D9" w:rsidP="002771FB">
      <w:pPr>
        <w:widowControl w:val="0"/>
      </w:pPr>
    </w:p>
    <w:p w14:paraId="5A405ADC" w14:textId="77777777" w:rsidR="008C1F8E" w:rsidRPr="00E53977" w:rsidRDefault="008C1F8E" w:rsidP="002771FB">
      <w:pPr>
        <w:widowControl w:val="0"/>
      </w:pPr>
    </w:p>
    <w:p w14:paraId="06AE3D5E" w14:textId="2E819695" w:rsidR="00B9071F" w:rsidRPr="00E53977" w:rsidRDefault="00B9071F" w:rsidP="002771FB">
      <w:pPr>
        <w:pStyle w:val="Heading1"/>
        <w:widowControl w:val="0"/>
        <w:spacing w:line="240" w:lineRule="auto"/>
      </w:pPr>
      <w:bookmarkStart w:id="60" w:name="_Toc520906383"/>
      <w:r w:rsidRPr="00E53977">
        <w:lastRenderedPageBreak/>
        <w:t>FINDINGS, OBSERVATIONS AND RECOMMENDATIONS</w:t>
      </w:r>
      <w:bookmarkEnd w:id="60"/>
    </w:p>
    <w:p w14:paraId="6574FB3D" w14:textId="3E240EC5" w:rsidR="00B9071F" w:rsidRPr="00E53977" w:rsidRDefault="00417071" w:rsidP="002771FB">
      <w:pPr>
        <w:pStyle w:val="Heading2"/>
        <w:widowControl w:val="0"/>
        <w:numPr>
          <w:ilvl w:val="0"/>
          <w:numId w:val="42"/>
        </w:numPr>
        <w:ind w:left="360"/>
      </w:pPr>
      <w:bookmarkStart w:id="61" w:name="_Toc520906384"/>
      <w:bookmarkStart w:id="62" w:name="_Hlk480815720"/>
      <w:r w:rsidRPr="00E53977">
        <w:t>Findings and Observations</w:t>
      </w:r>
      <w:bookmarkEnd w:id="61"/>
    </w:p>
    <w:p w14:paraId="53D746EC" w14:textId="77777777" w:rsidR="00B9071F" w:rsidRPr="00E53977" w:rsidRDefault="00B9071F" w:rsidP="002771FB">
      <w:pPr>
        <w:pStyle w:val="Heading3"/>
      </w:pPr>
      <w:bookmarkStart w:id="63" w:name="_Toc479591669"/>
      <w:bookmarkStart w:id="64" w:name="_Hlk516152710"/>
      <w:r w:rsidRPr="00E53977">
        <w:t>Ministry of Environmental Protection and Agriculture</w:t>
      </w:r>
    </w:p>
    <w:p w14:paraId="1B9C0B1A" w14:textId="77777777" w:rsidR="00080BBF" w:rsidRPr="00E53977" w:rsidRDefault="00080BBF" w:rsidP="002771FB">
      <w:pPr>
        <w:pStyle w:val="List1"/>
      </w:pPr>
      <w:r w:rsidRPr="00E53977">
        <w:t>The legal approximation process appears to be technically transparent and participatory. However, as indicated in the 2016 assessment, the interview and focus group respondents, including CSOs, indicated they feel the GoG does not engage with them enough and want to participate earlier in the drafting process, want more information, and want more communication channels besides MEPA’s website, which did not improve in 2017.</w:t>
      </w:r>
    </w:p>
    <w:p w14:paraId="04C8BDEE" w14:textId="4621BD6D" w:rsidR="00B9071F" w:rsidRPr="00E53977" w:rsidRDefault="00B9071F" w:rsidP="002771FB">
      <w:pPr>
        <w:pStyle w:val="List1"/>
      </w:pPr>
      <w:r w:rsidRPr="00E53977">
        <w:t xml:space="preserve">In 2017, </w:t>
      </w:r>
      <w:r w:rsidR="005363A1" w:rsidRPr="00E53977">
        <w:t>MEPA</w:t>
      </w:r>
      <w:r w:rsidRPr="00E53977">
        <w:t xml:space="preserve"> completed 100% of the 19 normative acts planned in the DCFTA/AA approximation plan. Many of these acts consist of transition periods to allow for proper implementation before penalties are applied. In 2017 some these transition periods were up to 6 years until full enforcement is applied, a significant increase from previous years.</w:t>
      </w:r>
    </w:p>
    <w:p w14:paraId="0A96246F" w14:textId="77777777" w:rsidR="00652F4C" w:rsidRPr="00E53977" w:rsidRDefault="00652F4C" w:rsidP="00652F4C">
      <w:pPr>
        <w:pStyle w:val="List1"/>
      </w:pPr>
      <w:r w:rsidRPr="00E53977">
        <w:rPr>
          <w:lang w:eastAsia="en-GB"/>
        </w:rPr>
        <w:t xml:space="preserve">The GoG is advising and collecting input from all stakeholders directly through public-private dialogue via the NFA hosted “civic hall” public forums. The three 2017 events were better organized, increasing the necessary input and involvement from the private sector and CSO; however, hosting only </w:t>
      </w:r>
      <w:r w:rsidRPr="00E53977">
        <w:t>3 civic halls in Tbilisi is insufficient to provide stakeholders the information they need on upcoming legislative changes or to provide input on how the new legislation should be designed, particularly for regional FBOs.</w:t>
      </w:r>
    </w:p>
    <w:p w14:paraId="20AD82C2" w14:textId="263765AA" w:rsidR="00B9071F" w:rsidRPr="00E53977" w:rsidRDefault="00B9071F" w:rsidP="002771FB">
      <w:pPr>
        <w:pStyle w:val="List1"/>
      </w:pPr>
      <w:r w:rsidRPr="00E53977">
        <w:t xml:space="preserve">Based on interviews with GoG stakeholders, the cost of compliance for both the GoG and the private sector to comply with newly adopted normative acts has not been adequately estimated. This results in the GoG not being empowered with the appropriate staffing, resources, and budget allocations to successfully implement the new mandate. Similarly, </w:t>
      </w:r>
      <w:r w:rsidR="00855A2C" w:rsidRPr="00E53977">
        <w:t>private firms</w:t>
      </w:r>
      <w:r w:rsidRPr="00E53977">
        <w:t xml:space="preserve"> cannot plan </w:t>
      </w:r>
      <w:r w:rsidR="00855A2C" w:rsidRPr="00E53977">
        <w:t>investments</w:t>
      </w:r>
      <w:r w:rsidRPr="00E53977">
        <w:t xml:space="preserve"> in assets and operations required for the compliance. </w:t>
      </w:r>
    </w:p>
    <w:p w14:paraId="3B7E215F" w14:textId="77777777" w:rsidR="00B9071F" w:rsidRPr="00E53977" w:rsidRDefault="00B9071F" w:rsidP="002771FB">
      <w:pPr>
        <w:pStyle w:val="List1"/>
      </w:pPr>
      <w:r w:rsidRPr="00E53977">
        <w:t>At present big part of the costs of inspections and control are covered from the state budget although EU approximation would allow more fees for inspections to be charged from the FBOs which would help the financing of the food safety system.</w:t>
      </w:r>
    </w:p>
    <w:p w14:paraId="70D30BA1" w14:textId="77777777" w:rsidR="00B9071F" w:rsidRPr="00E53977" w:rsidRDefault="00B9071F" w:rsidP="002771FB">
      <w:pPr>
        <w:pStyle w:val="Heading3"/>
      </w:pPr>
      <w:bookmarkStart w:id="65" w:name="_Toc508180530"/>
      <w:r w:rsidRPr="00E53977">
        <w:t>National Food Agency of the Ministry of Environmental Protection and Agriculture</w:t>
      </w:r>
      <w:bookmarkEnd w:id="65"/>
      <w:r w:rsidRPr="00E53977">
        <w:t xml:space="preserve"> </w:t>
      </w:r>
    </w:p>
    <w:p w14:paraId="6B7222AF" w14:textId="77777777" w:rsidR="00B9071F" w:rsidRPr="00E53977" w:rsidRDefault="00B9071F" w:rsidP="002771FB">
      <w:pPr>
        <w:widowControl w:val="0"/>
        <w:spacing w:before="80" w:after="0" w:line="240" w:lineRule="auto"/>
        <w:rPr>
          <w:b/>
          <w:i/>
        </w:rPr>
      </w:pPr>
      <w:r w:rsidRPr="00E53977">
        <w:rPr>
          <w:b/>
          <w:i/>
        </w:rPr>
        <w:t>Public Engagement and Awareness</w:t>
      </w:r>
    </w:p>
    <w:p w14:paraId="14A995E1" w14:textId="1D4F73D5" w:rsidR="00B9071F" w:rsidRPr="00E53977" w:rsidRDefault="005512AB" w:rsidP="00AA7DD5">
      <w:pPr>
        <w:pStyle w:val="List1"/>
      </w:pPr>
      <w:r w:rsidRPr="00E53977">
        <w:t>Following up 2</w:t>
      </w:r>
      <w:r w:rsidR="00B9071F" w:rsidRPr="00E53977">
        <w:t xml:space="preserve"> prior surveys in 2013 and 2016, the NFA conducted a survey of 1,108 individual consumers in December 2017. The survey indicate</w:t>
      </w:r>
      <w:r w:rsidR="00744E12" w:rsidRPr="00E53977">
        <w:t>d</w:t>
      </w:r>
      <w:r w:rsidR="00B9071F" w:rsidRPr="00E53977">
        <w:t xml:space="preserve"> consumer awareness of</w:t>
      </w:r>
      <w:r w:rsidR="00AB6B2F" w:rsidRPr="00E53977">
        <w:t xml:space="preserve"> </w:t>
      </w:r>
      <w:r w:rsidR="00B9071F" w:rsidRPr="00E53977">
        <w:t>GoG’s food safety system increased from 22% in 2013 to 57% in 2016 to 76% in 2017.</w:t>
      </w:r>
    </w:p>
    <w:p w14:paraId="30F175EE" w14:textId="77777777" w:rsidR="00652F4C" w:rsidRPr="00E53977" w:rsidRDefault="00652F4C" w:rsidP="00652F4C">
      <w:pPr>
        <w:pStyle w:val="List1"/>
      </w:pPr>
      <w:r w:rsidRPr="00E53977">
        <w:t>Similar to the 2016 assessment, public awareness of the NFA, its hotline, and food safety issues was very low among respondents. Despite the NFA’s website and social media, younger respondents were not aware of the NFA’s online public outreach activities.</w:t>
      </w:r>
    </w:p>
    <w:p w14:paraId="7542F3ED" w14:textId="70A1B282" w:rsidR="00B9071F" w:rsidRPr="00E53977" w:rsidRDefault="00744E12" w:rsidP="002771FB">
      <w:pPr>
        <w:pStyle w:val="List1"/>
      </w:pPr>
      <w:r w:rsidRPr="00E53977">
        <w:t>In</w:t>
      </w:r>
      <w:r w:rsidR="00B9071F" w:rsidRPr="00E53977">
        <w:t xml:space="preserve"> 2017, the NFA received 760 notifications (697 phone messages from citizens, 30 from the NCDC, and 33 from other authorities). According to the NFA, every violation was properly handled and responded to according to legal requirements. The NFA did test the respective food products still on the FBO’s premises and responded to complaints within a week. This is significantly faster than in 2016, where there were delays up to a month.</w:t>
      </w:r>
    </w:p>
    <w:p w14:paraId="2494C60F" w14:textId="66F02CB8" w:rsidR="00B9071F" w:rsidRPr="00E53977" w:rsidRDefault="00866391" w:rsidP="002771FB">
      <w:pPr>
        <w:pStyle w:val="List1"/>
      </w:pPr>
      <w:r w:rsidRPr="00E53977">
        <w:t>M</w:t>
      </w:r>
      <w:r w:rsidR="00B9071F" w:rsidRPr="00E53977">
        <w:t>ultiple FBOs have invested heavily in their food safety management systems. These FBOs desire to see the NFA implement a greater scope of control over more businesses to eliminate unfair competition, particularly over unregistered FBOs and small FBOs.</w:t>
      </w:r>
    </w:p>
    <w:p w14:paraId="7A7EE3C5" w14:textId="77777777" w:rsidR="00B9071F" w:rsidRPr="00E53977" w:rsidRDefault="00B9071F" w:rsidP="002771FB">
      <w:pPr>
        <w:pStyle w:val="List1"/>
      </w:pPr>
      <w:r w:rsidRPr="00E53977">
        <w:t>There is a generally positive attitude among FBOs about the food safety system, their knowledge of the regulations, and their own ability to understand the compliance regulations. However, the fact that only 2/3 of FBOs feeling positive about their compliance efforts suggests that there is still a substantial gap in full compliance throughout the country.</w:t>
      </w:r>
    </w:p>
    <w:p w14:paraId="70F4F0DA" w14:textId="77777777" w:rsidR="00B9071F" w:rsidRPr="00E53977" w:rsidRDefault="00B9071F" w:rsidP="002771FB">
      <w:pPr>
        <w:widowControl w:val="0"/>
        <w:spacing w:before="80" w:after="0" w:line="240" w:lineRule="auto"/>
        <w:rPr>
          <w:b/>
          <w:i/>
        </w:rPr>
      </w:pPr>
      <w:r w:rsidRPr="00E53977">
        <w:rPr>
          <w:b/>
          <w:i/>
        </w:rPr>
        <w:lastRenderedPageBreak/>
        <w:t>Implications of Legal Approximation</w:t>
      </w:r>
    </w:p>
    <w:p w14:paraId="7FC8D7CC" w14:textId="3D87B9A3" w:rsidR="00B9071F" w:rsidRPr="00E53977" w:rsidRDefault="00B9071F" w:rsidP="00AA7DD5">
      <w:pPr>
        <w:pStyle w:val="List1"/>
        <w:rPr>
          <w:rFonts w:cs="Times New Roman"/>
          <w:szCs w:val="24"/>
        </w:rPr>
      </w:pPr>
      <w:r w:rsidRPr="00E53977">
        <w:t>As mentioned in the 2016 assessment, fines and suspension of activities are applied for non-compliance for both registered and recognized FBOs. Many FBOs have been allotted additional time by the NFA to finalize the HACCP process as it requires a substantial investment of time. However, HACCP compliance is just a tool for a FBO to control food safety. To understand the need for continuous improvement both FBOs and NFA inspectors need to increase their knowledge and skills in implementing HACCP principles.</w:t>
      </w:r>
    </w:p>
    <w:p w14:paraId="1AE96E45" w14:textId="08380E8F" w:rsidR="00C65F04" w:rsidRPr="00E53977" w:rsidRDefault="00C65F04" w:rsidP="002771FB">
      <w:pPr>
        <w:pStyle w:val="List1"/>
        <w:rPr>
          <w:rFonts w:cs="Times New Roman"/>
          <w:szCs w:val="24"/>
        </w:rPr>
      </w:pPr>
      <w:r w:rsidRPr="00E53977">
        <w:rPr>
          <w:rFonts w:eastAsia="Times New Roman" w:cs="Times New Roman"/>
          <w:szCs w:val="24"/>
          <w:lang w:eastAsia="en-GB"/>
        </w:rPr>
        <w:t>Survey results suggest there is a generally positive attitude among FBOs about the food safety system, their knowledge of regulations, and their ability to understand compliance regulations. However, as only 2/3 of FBOs feel positive about their compliance efforts, this suggests there is still a substantial gap in full compliance throughout the country.</w:t>
      </w:r>
    </w:p>
    <w:p w14:paraId="570BB002" w14:textId="77777777" w:rsidR="00B9071F" w:rsidRPr="00E53977" w:rsidRDefault="00B9071F" w:rsidP="002771FB">
      <w:pPr>
        <w:widowControl w:val="0"/>
        <w:spacing w:before="80" w:after="0" w:line="240" w:lineRule="auto"/>
        <w:rPr>
          <w:b/>
          <w:i/>
        </w:rPr>
      </w:pPr>
      <w:r w:rsidRPr="00E53977">
        <w:rPr>
          <w:b/>
          <w:i/>
        </w:rPr>
        <w:t>Institutional Development</w:t>
      </w:r>
    </w:p>
    <w:p w14:paraId="766C2327" w14:textId="77777777" w:rsidR="00B9071F" w:rsidRPr="00E53977" w:rsidRDefault="00B9071F" w:rsidP="002771FB">
      <w:pPr>
        <w:pStyle w:val="List1"/>
      </w:pPr>
      <w:bookmarkStart w:id="66" w:name="_Hlk480378149"/>
      <w:r w:rsidRPr="00E53977">
        <w:t xml:space="preserve">The NFA continued to implement its “Institutional Reform and Development Plan (IRDP), 2017-2019”. One of the main components of the IRDP is the development of the NFA’s human capital and internal processes (i.e., Quality Management System [QMS], including Standard Operating Procedures [SOPs]). SOPs were developed for multiple NFA activities, such as market surveillance, documentary inspections, labelling etc.), but not more than SOPs has been included in the QMS development work so far. NFA need to speed up its QMS development. </w:t>
      </w:r>
    </w:p>
    <w:p w14:paraId="2D8D749F" w14:textId="77777777" w:rsidR="00B9071F" w:rsidRPr="00E53977" w:rsidRDefault="00B9071F" w:rsidP="002771FB">
      <w:pPr>
        <w:widowControl w:val="0"/>
        <w:spacing w:before="80" w:after="0" w:line="240" w:lineRule="auto"/>
        <w:rPr>
          <w:b/>
          <w:i/>
        </w:rPr>
      </w:pPr>
      <w:r w:rsidRPr="00E53977">
        <w:rPr>
          <w:b/>
          <w:i/>
        </w:rPr>
        <w:t>Training and Human Resources</w:t>
      </w:r>
    </w:p>
    <w:p w14:paraId="26BFCF81" w14:textId="1E989ED7" w:rsidR="00B9071F" w:rsidRPr="00E53977" w:rsidRDefault="00B9071F" w:rsidP="002771FB">
      <w:pPr>
        <w:pStyle w:val="List1"/>
      </w:pPr>
      <w:bookmarkStart w:id="67" w:name="_Hlk480378194"/>
      <w:bookmarkEnd w:id="66"/>
      <w:r w:rsidRPr="00E53977">
        <w:t>Although the NFA conducted or facilitated numerous capacity building trainings for the staff of the NFA and other food safety stakeholders, there is still a shortage of qualified personnel to support not only the GoG’s implementation of its food safety reforms, but also to provide food safety expertise within the private sector FBOs, laboratories, food safety consulting firms, and suppliers.</w:t>
      </w:r>
    </w:p>
    <w:p w14:paraId="2788563D" w14:textId="1E2222AA" w:rsidR="00B9071F" w:rsidRPr="00E53977" w:rsidRDefault="00B9071F" w:rsidP="002771FB">
      <w:pPr>
        <w:pStyle w:val="List1"/>
      </w:pPr>
      <w:r w:rsidRPr="00E53977">
        <w:t xml:space="preserve">NFA trainings for staff do not include epidemiological sections that indicate how foodborne bacteria and infections occur </w:t>
      </w:r>
      <w:r w:rsidR="00EF6954" w:rsidRPr="00E53977">
        <w:t>or</w:t>
      </w:r>
      <w:r w:rsidRPr="00E53977">
        <w:t xml:space="preserve"> methods to avoid them. Inclusion of this section into the trainings would require additional staff and resources within the NFA and NCDC.</w:t>
      </w:r>
    </w:p>
    <w:p w14:paraId="34613BDA" w14:textId="77777777" w:rsidR="00B9071F" w:rsidRPr="00E53977" w:rsidRDefault="00B9071F" w:rsidP="002771FB">
      <w:pPr>
        <w:widowControl w:val="0"/>
        <w:spacing w:before="80" w:after="0" w:line="240" w:lineRule="auto"/>
        <w:rPr>
          <w:b/>
          <w:i/>
        </w:rPr>
      </w:pPr>
      <w:r w:rsidRPr="00E53977">
        <w:rPr>
          <w:b/>
          <w:i/>
        </w:rPr>
        <w:t xml:space="preserve">Information Database Management </w:t>
      </w:r>
    </w:p>
    <w:bookmarkEnd w:id="67"/>
    <w:p w14:paraId="1141DDEF" w14:textId="77777777" w:rsidR="00B9071F" w:rsidRPr="00E53977" w:rsidRDefault="00B9071F" w:rsidP="002771FB">
      <w:pPr>
        <w:pStyle w:val="List1"/>
      </w:pPr>
      <w:r w:rsidRPr="00E53977">
        <w:t>The NFA fully mobilized the EUR 6 million, 6-year comprehensive National Animal Identification and Traceability (NAITS) project, funded by the SDC and ADA and implemented by FAO. The project builds on the NFA’s prior AI&amp;R pilot project and improves the NFA’s databases for the accumulation and management of information on FBOs, food safety, and animal health.</w:t>
      </w:r>
    </w:p>
    <w:p w14:paraId="26EBD518" w14:textId="77777777" w:rsidR="00B9071F" w:rsidRPr="00E53977" w:rsidRDefault="00B9071F" w:rsidP="002771FB">
      <w:pPr>
        <w:pStyle w:val="List1"/>
      </w:pPr>
      <w:r w:rsidRPr="00E53977">
        <w:t xml:space="preserve">The NFA gained a direct online access to the new National Economic Activities Registry (NAPR) in the Public Registry, which requires FBOs to update their registration on an annual basis. This has improved the efficiency of the NFA’s risk-based inspection data base given that the full list of FBOs numbered about 125,000 has been reduced to 30,000 active FBOs, of which 89% have received site visits from the NFA and have been recognized as FBOs. </w:t>
      </w:r>
    </w:p>
    <w:p w14:paraId="405AC732" w14:textId="77777777" w:rsidR="00B9071F" w:rsidRPr="00E53977" w:rsidRDefault="00B9071F" w:rsidP="002771FB">
      <w:pPr>
        <w:widowControl w:val="0"/>
        <w:spacing w:before="80" w:after="0" w:line="240" w:lineRule="auto"/>
        <w:rPr>
          <w:b/>
          <w:i/>
        </w:rPr>
      </w:pPr>
      <w:r w:rsidRPr="00E53977">
        <w:rPr>
          <w:b/>
          <w:i/>
        </w:rPr>
        <w:t>Food Safety Control</w:t>
      </w:r>
    </w:p>
    <w:p w14:paraId="75989BF5" w14:textId="77777777" w:rsidR="00B9071F" w:rsidRPr="00E53977" w:rsidRDefault="00B9071F" w:rsidP="002771FB">
      <w:pPr>
        <w:pStyle w:val="List1"/>
      </w:pPr>
      <w:r w:rsidRPr="00E53977">
        <w:t>The total number of inspections, especially scheduled inspections has decreased, but the number of unscheduled inspections has increased from 613 in 2016 to 782 in 2017. This indicates that NFA has been able to focus its resources on critical inspections instead or routine work. However, the number of both scheduled and unscheduled inspections remains quite low as regards the huge number of FBOs, including food sales places.</w:t>
      </w:r>
    </w:p>
    <w:p w14:paraId="7AA3FB30" w14:textId="39D6528B" w:rsidR="00B9071F" w:rsidRPr="00E53977" w:rsidRDefault="00B9071F" w:rsidP="002771FB">
      <w:pPr>
        <w:pStyle w:val="List1"/>
      </w:pPr>
      <w:r w:rsidRPr="00E53977">
        <w:t>In spite of the increased sampling of illegal veterinary medicine in honey in the residue monitoring program, the number of non-compliances increased in 2017.</w:t>
      </w:r>
      <w:r w:rsidR="00AB6B2F" w:rsidRPr="00E53977">
        <w:t xml:space="preserve"> </w:t>
      </w:r>
      <w:r w:rsidRPr="00E53977">
        <w:t xml:space="preserve">Lists of </w:t>
      </w:r>
      <w:r w:rsidR="00EF6954" w:rsidRPr="00E53977">
        <w:lastRenderedPageBreak/>
        <w:t>authorized</w:t>
      </w:r>
      <w:r w:rsidRPr="00E53977">
        <w:t xml:space="preserve"> veterinary medicines need to be updated and made easier to understand also by farmers choosing the right medicine.</w:t>
      </w:r>
    </w:p>
    <w:p w14:paraId="7FE863EF" w14:textId="77777777" w:rsidR="00B9071F" w:rsidRPr="00E53977" w:rsidRDefault="00B9071F" w:rsidP="002771FB">
      <w:pPr>
        <w:pStyle w:val="List1"/>
      </w:pPr>
      <w:r w:rsidRPr="00E53977">
        <w:t>NFA activities have also succeeded to reduce the amount of food to be destroyed due to non-compliances from 64,983 kg in 2016 to 11,472 kg in 2017, and 82% decrease. Retail sector has clearly improved their control of expiry dates partly due to increased number of NFA’s unscheduled inspections and surveillance.</w:t>
      </w:r>
    </w:p>
    <w:p w14:paraId="114EBFA3" w14:textId="77777777" w:rsidR="00B9071F" w:rsidRPr="00E53977" w:rsidRDefault="00B9071F" w:rsidP="002771FB">
      <w:pPr>
        <w:widowControl w:val="0"/>
        <w:spacing w:before="80" w:after="0" w:line="240" w:lineRule="auto"/>
        <w:rPr>
          <w:b/>
          <w:i/>
        </w:rPr>
      </w:pPr>
      <w:r w:rsidRPr="00E53977">
        <w:rPr>
          <w:b/>
          <w:i/>
        </w:rPr>
        <w:t>Veterinary Control</w:t>
      </w:r>
    </w:p>
    <w:p w14:paraId="151A94C7" w14:textId="3636E11D" w:rsidR="00B9071F" w:rsidRPr="00E53977" w:rsidRDefault="00B9071F" w:rsidP="002771FB">
      <w:pPr>
        <w:pStyle w:val="List1"/>
      </w:pPr>
      <w:r w:rsidRPr="00E53977">
        <w:t xml:space="preserve">The NFA found 10 non-compliances during taking 227 samples for laboratory analysis and inspecting 250 facilities selling and using veterinary medicines. The NFA also took 775 samples from 320 live animals for testing with rapid screening analysis for residues of veterinary drugs. </w:t>
      </w:r>
      <w:bookmarkStart w:id="68" w:name="_Hlk516146560"/>
      <w:r w:rsidRPr="00E53977">
        <w:t xml:space="preserve">Although the screening method showed 100% of samples having traces of illegal veterinary drugs, the results were not confirmed with </w:t>
      </w:r>
      <w:r w:rsidR="00EF6954" w:rsidRPr="00E53977">
        <w:t xml:space="preserve">a </w:t>
      </w:r>
      <w:r w:rsidRPr="00E53977">
        <w:t xml:space="preserve">reference method, as required by EU practices, due to </w:t>
      </w:r>
      <w:r w:rsidR="00EF6954" w:rsidRPr="00E53977">
        <w:t xml:space="preserve">the </w:t>
      </w:r>
      <w:r w:rsidRPr="00E53977">
        <w:t xml:space="preserve">lack of laboratories having </w:t>
      </w:r>
      <w:r w:rsidR="00E53977" w:rsidRPr="00E53977">
        <w:t xml:space="preserve">accredited </w:t>
      </w:r>
      <w:r w:rsidRPr="00E53977">
        <w:t>methods.</w:t>
      </w:r>
      <w:bookmarkEnd w:id="68"/>
      <w:r w:rsidRPr="00E53977">
        <w:t xml:space="preserve"> </w:t>
      </w:r>
    </w:p>
    <w:p w14:paraId="14460752" w14:textId="0EFEDB9A" w:rsidR="00C65F04" w:rsidRPr="00E53977" w:rsidRDefault="00C65F04" w:rsidP="002771FB">
      <w:pPr>
        <w:pStyle w:val="List1"/>
        <w:rPr>
          <w:rFonts w:cs="Times New Roman"/>
          <w:szCs w:val="24"/>
        </w:rPr>
      </w:pPr>
      <w:r w:rsidRPr="00E53977">
        <w:rPr>
          <w:rFonts w:eastAsia="Times New Roman" w:cs="Times New Roman"/>
          <w:szCs w:val="24"/>
          <w:lang w:eastAsia="en-GB"/>
        </w:rPr>
        <w:t>The NFA developed its Foot and Mouth Disease (FMD) control plan, with the EU confirming Georgia completed Stage 2 of the Progressive Control Pathway (PCP). The NFA expects to apply for PCP Stage 3 approval in 2018, the first step to apply for official OIE status as “FMD free WITH vaccination”.</w:t>
      </w:r>
    </w:p>
    <w:p w14:paraId="67A4EEEA" w14:textId="76F82C06" w:rsidR="00B9071F" w:rsidRPr="00E53977" w:rsidRDefault="00B9071F" w:rsidP="00285DC3">
      <w:pPr>
        <w:pStyle w:val="List1"/>
        <w:rPr>
          <w:rFonts w:cs="Times New Roman"/>
          <w:szCs w:val="24"/>
        </w:rPr>
      </w:pPr>
      <w:r w:rsidRPr="00E53977">
        <w:t>An</w:t>
      </w:r>
      <w:r w:rsidR="00E53977">
        <w:t xml:space="preserve">other </w:t>
      </w:r>
      <w:r w:rsidRPr="00E53977">
        <w:rPr>
          <w:rFonts w:cs="Times New Roman"/>
          <w:szCs w:val="24"/>
        </w:rPr>
        <w:t>Veterinary Supervision Point</w:t>
      </w:r>
      <w:r w:rsidRPr="00E53977">
        <w:t xml:space="preserve"> (VSP) was created in 2017, producing a total of 5 VSPs of the 6 VSPs planned by NFA to be ready in 2017. </w:t>
      </w:r>
      <w:r w:rsidR="00285DC3" w:rsidRPr="00285DC3">
        <w:t xml:space="preserve">Experts and </w:t>
      </w:r>
      <w:r w:rsidR="00285DC3">
        <w:t>p</w:t>
      </w:r>
      <w:r w:rsidRPr="00E53977">
        <w:t xml:space="preserve">rivate respondents stated that 6 VSPs is not </w:t>
      </w:r>
      <w:r w:rsidRPr="00E53977">
        <w:rPr>
          <w:rFonts w:cs="Times New Roman"/>
          <w:szCs w:val="24"/>
        </w:rPr>
        <w:t>sufficient to cover of all animal movements</w:t>
      </w:r>
      <w:r w:rsidRPr="00E53977">
        <w:t xml:space="preserve">. Furthermore, as the utilization of the VSPs are not mandatory, there is a higher risk that farmers will bypass the VSPs. </w:t>
      </w:r>
    </w:p>
    <w:p w14:paraId="3D6E844A" w14:textId="77777777" w:rsidR="00B9071F" w:rsidRPr="00E53977" w:rsidRDefault="00B9071F" w:rsidP="002771FB">
      <w:pPr>
        <w:pStyle w:val="List1"/>
        <w:rPr>
          <w:rFonts w:cs="Times New Roman"/>
          <w:szCs w:val="24"/>
        </w:rPr>
      </w:pPr>
      <w:r w:rsidRPr="00E53977">
        <w:t>The NFA employs or contracts about 650 veterinary specialists of varying qualification, whose average age is 65 years old. The potential lack of a qualified workforce is a significant issue, especially since veterinary medicine became a regulated profession in August 2017 and many of the current workforce will be retiring in the next few years.</w:t>
      </w:r>
    </w:p>
    <w:p w14:paraId="53D5D955" w14:textId="69A10098" w:rsidR="00B9071F" w:rsidRPr="00E53977" w:rsidRDefault="00DF5820" w:rsidP="002771FB">
      <w:pPr>
        <w:pStyle w:val="List1"/>
        <w:rPr>
          <w:rFonts w:cs="Times New Roman"/>
          <w:szCs w:val="24"/>
        </w:rPr>
      </w:pPr>
      <w:r w:rsidRPr="00E53977">
        <w:rPr>
          <w:rFonts w:eastAsia="Times New Roman" w:cs="Times New Roman"/>
          <w:szCs w:val="24"/>
          <w:lang w:eastAsia="en-GB"/>
        </w:rPr>
        <w:t>There are still challenges with the animal slaughtering process, particularly the increased practice of beef sales without Form 2 (which shows the meat product coming from an NFA-controlled facility). There are also high risks related to the practice of milk rejected by dairies being sold to unregistered FBOs without any control of quality or safety.</w:t>
      </w:r>
    </w:p>
    <w:p w14:paraId="4DFF7289" w14:textId="77777777" w:rsidR="00B9071F" w:rsidRPr="00E53977" w:rsidRDefault="00B9071F" w:rsidP="002771FB">
      <w:pPr>
        <w:widowControl w:val="0"/>
        <w:spacing w:before="80" w:after="0" w:line="240" w:lineRule="auto"/>
        <w:rPr>
          <w:b/>
          <w:i/>
        </w:rPr>
      </w:pPr>
      <w:r w:rsidRPr="00E53977">
        <w:rPr>
          <w:b/>
          <w:i/>
        </w:rPr>
        <w:t>Phytosanitary Control</w:t>
      </w:r>
    </w:p>
    <w:p w14:paraId="596CF7A7" w14:textId="3CFDA541" w:rsidR="00876E61" w:rsidRPr="00E53977" w:rsidRDefault="00B9071F" w:rsidP="002771FB">
      <w:pPr>
        <w:pStyle w:val="List1"/>
      </w:pPr>
      <w:r w:rsidRPr="00E53977">
        <w:t xml:space="preserve">The highest priority is the BMSB. A 4-component integrated pest management action plan was developed with support of USAID REAP, USDA, Turin University, Swiss University CABI and Ferrero. </w:t>
      </w:r>
      <w:r w:rsidR="00876E61" w:rsidRPr="00E53977">
        <w:rPr>
          <w:bCs/>
        </w:rPr>
        <w:t>The</w:t>
      </w:r>
      <w:r w:rsidR="00876E61" w:rsidRPr="00E53977">
        <w:rPr>
          <w:rFonts w:eastAsia="Times New Roman" w:cs="Times New Roman"/>
          <w:szCs w:val="24"/>
          <w:lang w:eastAsia="en-GB"/>
        </w:rPr>
        <w:t xml:space="preserve"> 5-year strategy’s main directions include raising farmer awareness, implementing a monitoring system, and chemical</w:t>
      </w:r>
      <w:r w:rsidR="00DF52D3" w:rsidRPr="00E53977">
        <w:rPr>
          <w:rFonts w:eastAsia="Times New Roman" w:cs="Times New Roman"/>
          <w:szCs w:val="24"/>
          <w:lang w:eastAsia="en-GB"/>
        </w:rPr>
        <w:t>/</w:t>
      </w:r>
      <w:r w:rsidR="00876E61" w:rsidRPr="00E53977">
        <w:rPr>
          <w:rFonts w:eastAsia="Times New Roman" w:cs="Times New Roman"/>
          <w:szCs w:val="24"/>
          <w:lang w:eastAsia="en-GB"/>
        </w:rPr>
        <w:t>mechanical management of the BMSB.</w:t>
      </w:r>
    </w:p>
    <w:p w14:paraId="4F369C64" w14:textId="77777777" w:rsidR="00B9071F" w:rsidRPr="00E53977" w:rsidRDefault="00B9071F" w:rsidP="002771FB">
      <w:pPr>
        <w:pStyle w:val="List1"/>
      </w:pPr>
      <w:r w:rsidRPr="00E53977">
        <w:t xml:space="preserve">Additionally, and not just for BMSB, the NFA has increased its capacity to deliver spraying services for farmers through the repurpose of additional vehicles installed with sprayers, which now total 140 compared to 12 the previous year. </w:t>
      </w:r>
    </w:p>
    <w:p w14:paraId="7D1A98A4" w14:textId="77777777" w:rsidR="00B9071F" w:rsidRPr="00E53977" w:rsidRDefault="00B9071F" w:rsidP="002771FB">
      <w:pPr>
        <w:pStyle w:val="List1"/>
      </w:pPr>
      <w:r w:rsidRPr="00E53977">
        <w:t>Within the framework of the Technical Cooperation Program Facility (TCPF) project with FAO, the NFA developed a 5-year strategy based on the Phytosanitary Capacity Evaluation of the phytosanitary system in 2017.</w:t>
      </w:r>
    </w:p>
    <w:p w14:paraId="005ED680" w14:textId="77777777" w:rsidR="00B9071F" w:rsidRPr="00E53977" w:rsidRDefault="00B9071F" w:rsidP="002771FB">
      <w:pPr>
        <w:widowControl w:val="0"/>
        <w:spacing w:before="80" w:after="0" w:line="240" w:lineRule="auto"/>
        <w:rPr>
          <w:b/>
          <w:i/>
        </w:rPr>
      </w:pPr>
      <w:r w:rsidRPr="00E53977">
        <w:rPr>
          <w:b/>
          <w:i/>
        </w:rPr>
        <w:t>Water Supply Systems</w:t>
      </w:r>
    </w:p>
    <w:p w14:paraId="515796FC" w14:textId="7C46EF1F" w:rsidR="00B9071F" w:rsidRPr="00E53977" w:rsidRDefault="00B9071F" w:rsidP="002771FB">
      <w:pPr>
        <w:pStyle w:val="List1"/>
      </w:pPr>
      <w:r w:rsidRPr="00E53977">
        <w:t>The NFA took 548 samples/probes of the drinking water (including 18 bottled waters) in 2017. Non-compliance was detected in 42.3%, which is only slightly better than 47% non-compliancy in 2016.</w:t>
      </w:r>
      <w:r w:rsidR="00AB6B2F" w:rsidRPr="00E53977">
        <w:t xml:space="preserve"> </w:t>
      </w:r>
      <w:r w:rsidRPr="00E53977">
        <w:t xml:space="preserve">As in 2016, over 90% of NFA’s negative results are from microbiological contamination outside </w:t>
      </w:r>
      <w:r w:rsidR="00C337FA" w:rsidRPr="00E53977">
        <w:t xml:space="preserve">the </w:t>
      </w:r>
      <w:r w:rsidRPr="00E53977">
        <w:t>big cities showing that rural water supplies are still in very poor condition and no significant improvement has taken place since 2016.</w:t>
      </w:r>
    </w:p>
    <w:p w14:paraId="28481B04" w14:textId="4850661B" w:rsidR="00B9071F" w:rsidRPr="00E53977" w:rsidRDefault="00B9071F" w:rsidP="002771FB">
      <w:pPr>
        <w:pStyle w:val="List1"/>
      </w:pPr>
      <w:r w:rsidRPr="00E53977">
        <w:t xml:space="preserve">Covering Tbilisi, Rustavi, and Mtskheta, Georgian Water and Power (GWP) provides </w:t>
      </w:r>
      <w:r w:rsidRPr="00E53977">
        <w:lastRenderedPageBreak/>
        <w:t>service to 450,000 users, which is approximately 1.5 million consumers.</w:t>
      </w:r>
      <w:r w:rsidR="00AB6B2F" w:rsidRPr="00E53977">
        <w:t xml:space="preserve"> </w:t>
      </w:r>
      <w:r w:rsidRPr="00E53977">
        <w:t xml:space="preserve">GWP took 11,608 samples in 2017, which show a 50% quality improvement from 0.2% to 0.1% variance. </w:t>
      </w:r>
    </w:p>
    <w:p w14:paraId="714125AB" w14:textId="2EDB44DE" w:rsidR="00B9071F" w:rsidRPr="00E53977" w:rsidRDefault="00B9071F" w:rsidP="002771FB">
      <w:pPr>
        <w:pStyle w:val="List1"/>
      </w:pPr>
      <w:r w:rsidRPr="00E53977">
        <w:t>United Water Supply Company (UWSC) covers 35-40% of the total population of Georgia, particularly in rural areas. In 2017, UWSC conducted 47,351 water analyses, of which only 0</w:t>
      </w:r>
      <w:r w:rsidR="0095250F" w:rsidRPr="00E53977">
        <w:t>.73</w:t>
      </w:r>
      <w:r w:rsidRPr="00E53977">
        <w:t>% were non-compliant showing improvement from the 1</w:t>
      </w:r>
      <w:r w:rsidR="0095250F" w:rsidRPr="00E53977">
        <w:t>.</w:t>
      </w:r>
      <w:r w:rsidRPr="00E53977">
        <w:t>56% non-compliancy in 2016.</w:t>
      </w:r>
    </w:p>
    <w:p w14:paraId="6B4EFA51" w14:textId="69B98ED2" w:rsidR="00B9071F" w:rsidRPr="00E53977" w:rsidRDefault="00B9071F" w:rsidP="002771FB">
      <w:pPr>
        <w:pStyle w:val="Heading3"/>
      </w:pPr>
      <w:bookmarkStart w:id="69" w:name="_Toc508180531"/>
      <w:r w:rsidRPr="00E53977">
        <w:t xml:space="preserve">Science and Research Center of </w:t>
      </w:r>
      <w:bookmarkEnd w:id="69"/>
      <w:r w:rsidR="00AA7DD5" w:rsidRPr="00E53977">
        <w:t>MEPA</w:t>
      </w:r>
    </w:p>
    <w:p w14:paraId="4FE5F687" w14:textId="77777777" w:rsidR="00B9071F" w:rsidRPr="00E53977" w:rsidRDefault="00B9071F" w:rsidP="002771FB">
      <w:pPr>
        <w:pStyle w:val="List1"/>
      </w:pPr>
      <w:bookmarkStart w:id="70" w:name="_Hlk512109871"/>
      <w:r w:rsidRPr="00E53977">
        <w:t>According to SRCA and a TAIEX validation mission in 2017, the SRCA risk assessment unit does not have enough information from GoG’s monitoring control plan activities to conduct risk assessments. Therefore, SRCA needs to obtain greater access to better data from the MLHSA, RS, and other GoG entities for its risk assessment purposes, particularly since the SRCA does not have the staff or the budget to conduct necessary testing for emerging risks.</w:t>
      </w:r>
    </w:p>
    <w:p w14:paraId="442F71AF" w14:textId="77777777" w:rsidR="00B9071F" w:rsidRPr="00E53977" w:rsidRDefault="00B9071F" w:rsidP="002771FB">
      <w:pPr>
        <w:pStyle w:val="List1"/>
      </w:pPr>
      <w:r w:rsidRPr="00E53977">
        <w:t xml:space="preserve">In May 2017, the NFA supported the SRCA to organize the lecture, </w:t>
      </w:r>
      <w:r w:rsidRPr="00E53977">
        <w:rPr>
          <w:color w:val="212121"/>
        </w:rPr>
        <w:t>‘</w:t>
      </w:r>
      <w:r w:rsidRPr="00E53977">
        <w:t>Artificial trans-fat in popular foods: a market basket investigation in 2015-2016 in 15 countries of the former Soviet Union’. As a result, NFA started systematic analysis of industrial trans-fats in Georgian foods and found almost 10% of samples exceeding the limits set by the new Georgian legislation.</w:t>
      </w:r>
      <w:bookmarkEnd w:id="70"/>
    </w:p>
    <w:p w14:paraId="6B291BD7" w14:textId="77777777" w:rsidR="00B9071F" w:rsidRPr="00E53977" w:rsidRDefault="00B9071F" w:rsidP="002771FB">
      <w:pPr>
        <w:pStyle w:val="Heading3"/>
      </w:pPr>
      <w:bookmarkStart w:id="71" w:name="_Toc508180532"/>
      <w:r w:rsidRPr="00E53977">
        <w:t>Laboratory of the Ministry of Environmental Protection and Agriculture</w:t>
      </w:r>
      <w:bookmarkEnd w:id="71"/>
    </w:p>
    <w:p w14:paraId="231DFC12" w14:textId="77777777" w:rsidR="00B9071F" w:rsidRPr="00E53977" w:rsidRDefault="00B9071F" w:rsidP="002771FB">
      <w:pPr>
        <w:pStyle w:val="List1"/>
      </w:pPr>
      <w:r w:rsidRPr="00E53977">
        <w:t xml:space="preserve">The Laboratory of MEPA (LMA) received accreditation from GAC in 2017 and invested in new methodologies to provide additional laboratory analysis capacity to prepare for upcoming regulatory requirements. As reported in the 2016 assessment, </w:t>
      </w:r>
      <w:r w:rsidRPr="00E53977">
        <w:rPr>
          <w:rFonts w:eastAsia="Times New Roman" w:cs="Arial"/>
          <w:szCs w:val="20"/>
          <w:lang w:eastAsia="en-GB"/>
        </w:rPr>
        <w:t xml:space="preserve">the </w:t>
      </w:r>
      <w:r w:rsidRPr="00E53977">
        <w:t xml:space="preserve">LMA is focused on providing references and tests that are not provided by private laboratories. </w:t>
      </w:r>
    </w:p>
    <w:p w14:paraId="505C06D8" w14:textId="77777777" w:rsidR="00B9071F" w:rsidRPr="00E53977" w:rsidRDefault="00B9071F" w:rsidP="002771FB">
      <w:pPr>
        <w:pStyle w:val="Heading3"/>
      </w:pPr>
      <w:bookmarkStart w:id="72" w:name="_Toc508180533"/>
      <w:r w:rsidRPr="00E53977">
        <w:t>Revenue Service of the Ministry of Finance</w:t>
      </w:r>
      <w:bookmarkEnd w:id="72"/>
    </w:p>
    <w:p w14:paraId="757F712B" w14:textId="77777777" w:rsidR="00B9071F" w:rsidRPr="00E53977" w:rsidRDefault="00B9071F" w:rsidP="002771FB">
      <w:pPr>
        <w:pStyle w:val="List1"/>
      </w:pPr>
      <w:r w:rsidRPr="00E53977">
        <w:t xml:space="preserve">The RS </w:t>
      </w:r>
      <w:r w:rsidRPr="00E53977">
        <w:rPr>
          <w:rFonts w:cs="Times New Roman"/>
          <w:szCs w:val="24"/>
        </w:rPr>
        <w:t>Customs Department</w:t>
      </w:r>
      <w:r w:rsidRPr="00E53977">
        <w:t xml:space="preserve"> continued enhancement of the infrastructure at its Border Inspection Points (BIPs) in 2017. Specifically, they begun equipping the BIP at the Red Bridge border crossing with EU-compliant border inspection equipment. The first stage of construction has been completed, the second stage began in December 2017, with completion expected in 2018. </w:t>
      </w:r>
    </w:p>
    <w:p w14:paraId="3525839F" w14:textId="77777777" w:rsidR="00B9071F" w:rsidRPr="00E53977" w:rsidRDefault="00B9071F" w:rsidP="002771FB">
      <w:pPr>
        <w:pStyle w:val="List1"/>
      </w:pPr>
      <w:r w:rsidRPr="00E53977">
        <w:t>The RS Customs Department finalized the construction of the refrigerated storage rooms at the Adlia BIP, which became fully operational in 2017. There were delays with the BIP at Sadakhlo BIP, which was expected to be fully upgraded at the end of 2017, but only the tender for construction was announced in 2017.</w:t>
      </w:r>
    </w:p>
    <w:p w14:paraId="7B372E1E" w14:textId="77777777" w:rsidR="00B9071F" w:rsidRPr="00E53977" w:rsidRDefault="00B9071F" w:rsidP="002771FB">
      <w:pPr>
        <w:pStyle w:val="Heading3"/>
      </w:pPr>
      <w:bookmarkStart w:id="73" w:name="_Toc508180535"/>
      <w:r w:rsidRPr="00E53977">
        <w:t>Ministry of Economy and Sustainable Development</w:t>
      </w:r>
      <w:bookmarkEnd w:id="73"/>
    </w:p>
    <w:p w14:paraId="0EF1406B" w14:textId="77777777" w:rsidR="00B9071F" w:rsidRPr="00E53977" w:rsidRDefault="00B9071F" w:rsidP="002771FB">
      <w:pPr>
        <w:pStyle w:val="List1"/>
      </w:pPr>
      <w:r w:rsidRPr="00E53977">
        <w:t xml:space="preserve">Georgian Accreditation Center (GAC) implemented in 2017 an accreditation requirement for laboratories to participate in proficiency testing. Full enforcement of this requirement will begin in 2018. Also, the NFA introduced a requirement for all laboratories participating in NFA tenders to pass proficiency tests. </w:t>
      </w:r>
    </w:p>
    <w:p w14:paraId="7EF3B7BB" w14:textId="77777777" w:rsidR="002771FB" w:rsidRPr="00E53977" w:rsidRDefault="002771FB" w:rsidP="002771FB">
      <w:pPr>
        <w:pStyle w:val="List1"/>
        <w:rPr>
          <w:lang w:eastAsia="en-GB"/>
        </w:rPr>
      </w:pPr>
      <w:bookmarkStart w:id="74" w:name="_Toc508180536"/>
      <w:r w:rsidRPr="00E53977">
        <w:rPr>
          <w:lang w:eastAsia="en-GB"/>
        </w:rPr>
        <w:t xml:space="preserve">The GAC became an associated member of European Accreditation (EA); however, it was not granted mutual recognition of accreditation of laboratories and other certifying bodies. </w:t>
      </w:r>
    </w:p>
    <w:p w14:paraId="515FA585" w14:textId="77777777" w:rsidR="00B9071F" w:rsidRPr="00E53977" w:rsidRDefault="00B9071F" w:rsidP="002771FB">
      <w:pPr>
        <w:pStyle w:val="Heading3"/>
      </w:pPr>
      <w:r w:rsidRPr="00E53977">
        <w:t>Ministry of Labor, Health, and Social Affairs</w:t>
      </w:r>
    </w:p>
    <w:bookmarkEnd w:id="74"/>
    <w:p w14:paraId="5D5DB781" w14:textId="77777777" w:rsidR="00B9071F" w:rsidRPr="00E53977" w:rsidRDefault="00B9071F" w:rsidP="002771FB">
      <w:pPr>
        <w:pStyle w:val="List1"/>
      </w:pPr>
      <w:r w:rsidRPr="00E53977">
        <w:t xml:space="preserve">The National Anti-Microbial Resistance Strategy, implemented jointly by the MEPA, the NFA, and MLHSA, and the NCDC was approved in January 2017 and encompasses activities related to not only food and water safety, but also hospital-related infections. The strategy was still in its initial stages of implementation in 2017, but the strategy’s ongoing success will be determined by the coordination and financial resources allocated </w:t>
      </w:r>
      <w:r w:rsidRPr="00E53977">
        <w:lastRenderedPageBreak/>
        <w:t>to implementation activities.</w:t>
      </w:r>
    </w:p>
    <w:p w14:paraId="6F55C80C" w14:textId="77777777" w:rsidR="00B9071F" w:rsidRPr="00E53977" w:rsidRDefault="00B9071F" w:rsidP="002771FB">
      <w:pPr>
        <w:pStyle w:val="List1"/>
      </w:pPr>
      <w:r w:rsidRPr="00E53977">
        <w:t>MLHSA has a well-functioning system for approving and registering human medicines. Significant savings could be achieved by avoiding having a duplicate system for approval and registering of antibiotics for animal and human usage separately under MLHSA and MEPA/NFA respectively.</w:t>
      </w:r>
    </w:p>
    <w:p w14:paraId="48E85BAF" w14:textId="77777777" w:rsidR="00B9071F" w:rsidRPr="00E53977" w:rsidRDefault="00B9071F" w:rsidP="002771FB">
      <w:pPr>
        <w:pStyle w:val="Heading3"/>
      </w:pPr>
      <w:bookmarkStart w:id="75" w:name="_Toc508180537"/>
      <w:r w:rsidRPr="00E53977">
        <w:t>National Center for Disease Control</w:t>
      </w:r>
      <w:bookmarkEnd w:id="75"/>
    </w:p>
    <w:bookmarkEnd w:id="63"/>
    <w:p w14:paraId="15123500" w14:textId="77777777" w:rsidR="00B9071F" w:rsidRPr="00E53977" w:rsidRDefault="00B9071F" w:rsidP="001678A9">
      <w:pPr>
        <w:pStyle w:val="List1"/>
      </w:pPr>
      <w:r w:rsidRPr="00E53977">
        <w:t>The NFA and the NCDC enhanced their communication and cooperation by establishing a joint committee to develop an epidemiological enteric (i.e., diarrhea) control program, complete with improved laboratory testing requirements and processes. The NCDC demonstrated the shigella infections to NFA staff members, showing how its laboratory system resulted in greater precision in detecting infections.</w:t>
      </w:r>
    </w:p>
    <w:p w14:paraId="57C668FC" w14:textId="1F471BBA" w:rsidR="00B9071F" w:rsidRPr="00E53977" w:rsidRDefault="00B9071F" w:rsidP="002771FB">
      <w:pPr>
        <w:pStyle w:val="List1"/>
      </w:pPr>
      <w:r w:rsidRPr="00E53977">
        <w:t>The NCDC tracks the occurrence of both foodborne and waterborne diseases on a national basis. Over the prior 10-year period, the number of self-reported diagnoses of presumed food poisoning has increased from 1,843 in 2008 to 33,615 in 2017. However</w:t>
      </w:r>
      <w:r w:rsidRPr="00E53977">
        <w:rPr>
          <w:rFonts w:cs="Times New Roman"/>
          <w:szCs w:val="24"/>
        </w:rPr>
        <w:t xml:space="preserve">, there has been a recent 43.7% decrease in </w:t>
      </w:r>
      <w:r w:rsidRPr="00E53977">
        <w:t xml:space="preserve">the total number of self-reported diagnoses of diarrhea of infectious origin since 2015, when cases reached a peak at 30,500. This decrease suggest that the healthcare and food safety systems are improving, </w:t>
      </w:r>
      <w:r w:rsidRPr="00E53977">
        <w:rPr>
          <w:rFonts w:cs="Times New Roman"/>
          <w:szCs w:val="24"/>
        </w:rPr>
        <w:t xml:space="preserve">but future assessments should determine whether a sustainable trend is developing or not. </w:t>
      </w:r>
    </w:p>
    <w:p w14:paraId="05FF771B" w14:textId="77777777" w:rsidR="00561A71" w:rsidRPr="00E53977" w:rsidRDefault="00561A71" w:rsidP="002771FB">
      <w:pPr>
        <w:widowControl w:val="0"/>
      </w:pPr>
    </w:p>
    <w:p w14:paraId="71B66A07" w14:textId="1F457CB0" w:rsidR="00B9071F" w:rsidRPr="00E53977" w:rsidRDefault="00417071" w:rsidP="002771FB">
      <w:pPr>
        <w:pStyle w:val="Heading2"/>
        <w:widowControl w:val="0"/>
      </w:pPr>
      <w:bookmarkStart w:id="76" w:name="_Toc520906385"/>
      <w:bookmarkStart w:id="77" w:name="_Toc479591670"/>
      <w:bookmarkStart w:id="78" w:name="_Toc508180538"/>
      <w:bookmarkEnd w:id="64"/>
      <w:r w:rsidRPr="00E53977">
        <w:t>Recommendations</w:t>
      </w:r>
      <w:bookmarkEnd w:id="76"/>
    </w:p>
    <w:p w14:paraId="7E0E909D" w14:textId="77777777" w:rsidR="00B9071F" w:rsidRPr="00E53977" w:rsidRDefault="00B9071F" w:rsidP="002771FB">
      <w:pPr>
        <w:pStyle w:val="Heading3"/>
      </w:pPr>
      <w:bookmarkStart w:id="79" w:name="_Toc479591671"/>
      <w:bookmarkStart w:id="80" w:name="_Hlk516153047"/>
      <w:bookmarkEnd w:id="77"/>
      <w:bookmarkEnd w:id="78"/>
      <w:r w:rsidRPr="00E53977">
        <w:t xml:space="preserve">Ministry of Environmental Protection and Agriculture </w:t>
      </w:r>
    </w:p>
    <w:p w14:paraId="0FCEE3D4" w14:textId="194253CF" w:rsidR="00B9071F" w:rsidRPr="00E53977" w:rsidRDefault="00B9071F" w:rsidP="002771FB">
      <w:pPr>
        <w:pStyle w:val="List1"/>
      </w:pPr>
      <w:r w:rsidRPr="00E53977">
        <w:t>The GoG should consider conducting Regulatory Impact Assessments (RIA) to estimate the cost of compliance for all ministries and agencies involved in the food safety system to ensure they are empowered with</w:t>
      </w:r>
      <w:r w:rsidR="00D64192">
        <w:t xml:space="preserve"> sufficient</w:t>
      </w:r>
      <w:r w:rsidRPr="00E53977">
        <w:t xml:space="preserve"> resources to comply with the new </w:t>
      </w:r>
      <w:r w:rsidR="00E4210C">
        <w:t xml:space="preserve">and future </w:t>
      </w:r>
      <w:r w:rsidRPr="00E53977">
        <w:t>mandates</w:t>
      </w:r>
      <w:r w:rsidR="00E4210C">
        <w:t xml:space="preserve"> over the coming 10 years</w:t>
      </w:r>
      <w:r w:rsidRPr="00E53977">
        <w:t>.</w:t>
      </w:r>
    </w:p>
    <w:p w14:paraId="19DEF246" w14:textId="52F66410" w:rsidR="00B9071F" w:rsidRPr="00E53977" w:rsidRDefault="00B9071F" w:rsidP="002771FB">
      <w:pPr>
        <w:pStyle w:val="List1"/>
      </w:pPr>
      <w:r w:rsidRPr="00E53977">
        <w:t>Prior to announc</w:t>
      </w:r>
      <w:r w:rsidR="006D3EF4">
        <w:t>ing</w:t>
      </w:r>
      <w:r w:rsidRPr="00E53977">
        <w:t xml:space="preserve"> expected </w:t>
      </w:r>
      <w:r w:rsidR="006D3EF4">
        <w:t xml:space="preserve">regulatory </w:t>
      </w:r>
      <w:r w:rsidRPr="00E53977">
        <w:t xml:space="preserve">changes on its website and requesting inputs from external stakeholders, MEPA should </w:t>
      </w:r>
      <w:r w:rsidR="006D3EF4">
        <w:t>conduct</w:t>
      </w:r>
      <w:r w:rsidRPr="00E53977">
        <w:t xml:space="preserve"> rounds of consultations with stakeholders during drafting to properly assess potential impacts to businesses and consumers.</w:t>
      </w:r>
    </w:p>
    <w:p w14:paraId="190123C0" w14:textId="5D158479" w:rsidR="00B9071F" w:rsidRPr="003C68AD" w:rsidRDefault="00B9071F" w:rsidP="002F2F55">
      <w:pPr>
        <w:pStyle w:val="List1"/>
      </w:pPr>
      <w:r w:rsidRPr="003C68AD">
        <w:t>Due to the mismatch between the forecasted human resources demands</w:t>
      </w:r>
      <w:r w:rsidR="00095A9F">
        <w:t xml:space="preserve"> (</w:t>
      </w:r>
      <w:r w:rsidRPr="003C68AD">
        <w:t xml:space="preserve">particularly for </w:t>
      </w:r>
      <w:r w:rsidR="00095A9F">
        <w:t xml:space="preserve">the new regulations coming into force in </w:t>
      </w:r>
      <w:r w:rsidRPr="003C68AD">
        <w:t>2020</w:t>
      </w:r>
      <w:r w:rsidR="00095A9F">
        <w:t>)</w:t>
      </w:r>
      <w:r w:rsidRPr="003C68AD">
        <w:t xml:space="preserve"> and the current budget, </w:t>
      </w:r>
      <w:r w:rsidR="00913077" w:rsidRPr="00913077">
        <w:t xml:space="preserve">MEPA and especially NFA should work harder to convince </w:t>
      </w:r>
      <w:r w:rsidRPr="003C68AD">
        <w:t xml:space="preserve">the GoG </w:t>
      </w:r>
      <w:r w:rsidR="00485CF2">
        <w:t>to</w:t>
      </w:r>
      <w:r w:rsidRPr="003C68AD">
        <w:t xml:space="preserve"> increase the</w:t>
      </w:r>
      <w:r w:rsidR="00485CF2">
        <w:t>ir</w:t>
      </w:r>
      <w:r w:rsidRPr="003C68AD">
        <w:t xml:space="preserve"> resources for staffing </w:t>
      </w:r>
      <w:r w:rsidR="00485CF2">
        <w:t xml:space="preserve">and programmatic </w:t>
      </w:r>
      <w:r w:rsidRPr="003C68AD">
        <w:t>needs</w:t>
      </w:r>
      <w:r w:rsidR="00485CF2">
        <w:t>. If the GoG were to only</w:t>
      </w:r>
      <w:r w:rsidRPr="003C68AD">
        <w:t xml:space="preserve"> delay the enforcement of the approximated regulations</w:t>
      </w:r>
      <w:r w:rsidR="00485CF2">
        <w:t xml:space="preserve"> further instead, this would neglect</w:t>
      </w:r>
      <w:r w:rsidR="002F2F55" w:rsidRPr="002F2F55">
        <w:t xml:space="preserve"> the safety of Georgian consumers and </w:t>
      </w:r>
      <w:r w:rsidR="00485CF2">
        <w:t>potentially</w:t>
      </w:r>
      <w:r w:rsidR="002F2F55" w:rsidRPr="002F2F55">
        <w:t xml:space="preserve"> put the </w:t>
      </w:r>
      <w:r w:rsidR="00485CF2">
        <w:t xml:space="preserve">credibility of the </w:t>
      </w:r>
      <w:r w:rsidR="002F2F55" w:rsidRPr="002F2F55">
        <w:t>DCFTA/AA in jeopardy</w:t>
      </w:r>
      <w:r w:rsidR="00485CF2">
        <w:t>.</w:t>
      </w:r>
    </w:p>
    <w:p w14:paraId="03C28AEF" w14:textId="77777777" w:rsidR="00C629E7" w:rsidRDefault="00C629E7" w:rsidP="001678A9">
      <w:pPr>
        <w:pStyle w:val="List1"/>
      </w:pPr>
      <w:r w:rsidRPr="00E53977">
        <w:t>MEPA should organize informational meetings to increase stakeholder’s awareness of the investment and upgrades required to comply with new regulatory requirements. MEPA’s Information and Consultation Centers (ICCs) should be used to direct stakeholders to proper directions with dissemination of lists of respective consulting companies working in each particular field in case if information requested will exceed their capacity. Additionally, the NFA should expand on their broadcast public service messages to consumers and FBOs on the main television, radio, and social media channels.</w:t>
      </w:r>
    </w:p>
    <w:p w14:paraId="541277B0" w14:textId="2CC7B048" w:rsidR="001678A9" w:rsidRPr="00E53977" w:rsidRDefault="001678A9" w:rsidP="001678A9">
      <w:pPr>
        <w:pStyle w:val="List1"/>
      </w:pPr>
      <w:r w:rsidRPr="00E53977">
        <w:t>MEPA/NFA should increase their efforts to regulate antibiotics and raise awareness among beekeepers and other livestock growers about acceptable veterinary medicines practices. For example, compared to the EU’s list of approved veterinary medicines, metronidazole is still in the Georgian list of registered medicines for animals but not allowed by other legislation to be used in beekeeping or other food chain animals.</w:t>
      </w:r>
    </w:p>
    <w:p w14:paraId="429CFA0F" w14:textId="7E1E43C6" w:rsidR="00B9071F" w:rsidRPr="00E53977" w:rsidRDefault="00B9071F" w:rsidP="002771FB">
      <w:pPr>
        <w:pStyle w:val="List1"/>
      </w:pPr>
      <w:r w:rsidRPr="00E53977">
        <w:t xml:space="preserve">MEPA should work closer with MoF to coordinate relations between RS and NFA to have </w:t>
      </w:r>
      <w:r w:rsidRPr="00E53977">
        <w:lastRenderedPageBreak/>
        <w:t xml:space="preserve">updated information of FBOs exceeding </w:t>
      </w:r>
      <w:r w:rsidR="009B7718" w:rsidRPr="00E53977">
        <w:t xml:space="preserve">GEL </w:t>
      </w:r>
      <w:r w:rsidRPr="00E53977">
        <w:t xml:space="preserve">200,000 turnovers, about start-end locations and time of food transportation etc. (information from </w:t>
      </w:r>
      <w:r w:rsidR="00545E21">
        <w:t xml:space="preserve">the </w:t>
      </w:r>
      <w:r w:rsidRPr="00E53977">
        <w:t>RS</w:t>
      </w:r>
      <w:r w:rsidR="00F10996">
        <w:t>’</w:t>
      </w:r>
      <w:r w:rsidRPr="00E53977">
        <w:t xml:space="preserve"> internal electronic system).</w:t>
      </w:r>
      <w:bookmarkStart w:id="81" w:name="_Hlk480379935"/>
    </w:p>
    <w:bookmarkEnd w:id="81"/>
    <w:p w14:paraId="1B31E3A6" w14:textId="77777777" w:rsidR="00B9071F" w:rsidRPr="00E53977" w:rsidRDefault="00B9071F" w:rsidP="002771FB">
      <w:pPr>
        <w:pStyle w:val="List1"/>
      </w:pPr>
      <w:r w:rsidRPr="00E53977">
        <w:t>MEPA training center should increase its capacity and methodology according to latest international practices. International experts/trainers should be invited to share experience and develop training system applicable also to NFA, LMA and SCRA needs.</w:t>
      </w:r>
    </w:p>
    <w:p w14:paraId="0312405F" w14:textId="2723F9CB" w:rsidR="00440283" w:rsidRPr="00E53977" w:rsidRDefault="00B9071F" w:rsidP="002771FB">
      <w:pPr>
        <w:pStyle w:val="List1"/>
      </w:pPr>
      <w:bookmarkStart w:id="82" w:name="_Hlk480380101"/>
      <w:r w:rsidRPr="00E53977">
        <w:t xml:space="preserve">MEPA/NFA should strengthen their efforts to introduce additional </w:t>
      </w:r>
      <w:r w:rsidR="003D44F2">
        <w:t>public relations</w:t>
      </w:r>
      <w:r w:rsidRPr="00E53977">
        <w:t xml:space="preserve"> efforts and programs to educate the public on the </w:t>
      </w:r>
      <w:r w:rsidR="009B0DE0">
        <w:t>efforts of the</w:t>
      </w:r>
      <w:r w:rsidRPr="00E53977">
        <w:t xml:space="preserve"> GoG entities. As already proposed in the 2016 EPF assessment, the MEPA/NFA should begin a proactive campaign to promote, recruit, train, and develop an expanded workforce both in Tbilisi and in the ROs.</w:t>
      </w:r>
      <w:bookmarkEnd w:id="82"/>
    </w:p>
    <w:p w14:paraId="18E3BB21" w14:textId="77777777" w:rsidR="00B9071F" w:rsidRPr="00E53977" w:rsidRDefault="00B9071F" w:rsidP="002771FB">
      <w:pPr>
        <w:pStyle w:val="Heading3"/>
      </w:pPr>
      <w:bookmarkStart w:id="83" w:name="_Toc508180540"/>
      <w:r w:rsidRPr="00E53977">
        <w:t>National Food Agency of the Ministry of Environmental Protection and Agriculture</w:t>
      </w:r>
      <w:bookmarkEnd w:id="83"/>
      <w:r w:rsidRPr="00E53977">
        <w:t xml:space="preserve"> </w:t>
      </w:r>
    </w:p>
    <w:p w14:paraId="738EAF5C" w14:textId="77777777" w:rsidR="00B9071F" w:rsidRPr="00E53977" w:rsidRDefault="00B9071F" w:rsidP="002771FB">
      <w:pPr>
        <w:widowControl w:val="0"/>
        <w:spacing w:before="80" w:after="0" w:line="240" w:lineRule="auto"/>
        <w:rPr>
          <w:b/>
          <w:i/>
        </w:rPr>
      </w:pPr>
      <w:bookmarkStart w:id="84" w:name="_Hlk480380019"/>
      <w:r w:rsidRPr="00E53977">
        <w:rPr>
          <w:b/>
          <w:i/>
        </w:rPr>
        <w:t>Public Engagement and Awareness</w:t>
      </w:r>
    </w:p>
    <w:p w14:paraId="55C3780F" w14:textId="107C1D4A" w:rsidR="00DB024A" w:rsidRPr="00E53977" w:rsidRDefault="00DB024A" w:rsidP="00DB024A">
      <w:pPr>
        <w:pStyle w:val="ListParagraph"/>
        <w:widowControl w:val="0"/>
        <w:numPr>
          <w:ilvl w:val="0"/>
          <w:numId w:val="8"/>
        </w:numPr>
        <w:spacing w:line="240" w:lineRule="auto"/>
        <w:ind w:left="450"/>
      </w:pPr>
      <w:r w:rsidRPr="00E53977">
        <w:t>The NFA should increase the number of civic halls to engage CSOs, business associations, FBOs, consumers, and other stakeholders on all approximated acts, particularly for those that will have major impacts and implications for compliance and enforcement. As the civic halls are only hosted in Tbilisi, the NFA should also host them in the regions where high concentrations of FBOs will be affected by new regulations. The NFA should give sufficient advance notice to CSOs, FBOs, and other stakeholders to schedule accordingly, conduct initial analysis, and develop their comments and inputs prior to the civic halls.</w:t>
      </w:r>
    </w:p>
    <w:p w14:paraId="43EA5C79" w14:textId="5CD6928E" w:rsidR="00B9071F" w:rsidRPr="00E53977" w:rsidRDefault="00B9071F" w:rsidP="00DB024A">
      <w:pPr>
        <w:pStyle w:val="List1"/>
        <w:rPr>
          <w:lang w:eastAsia="en-GB"/>
        </w:rPr>
      </w:pPr>
      <w:r w:rsidRPr="00E53977">
        <w:rPr>
          <w:lang w:eastAsia="en-GB"/>
        </w:rPr>
        <w:t>The NFA should increase its efforts to involve consumers in promoting food safety reforms and the responsibilities of FBOs to stimulate a market-driven demand for FBOs to comply with requirements. This will introduce a “push-pull” approach for FBOs and will also increase the efficiency of the NFA’s limited resources.</w:t>
      </w:r>
    </w:p>
    <w:p w14:paraId="10EA7822" w14:textId="6F2D301F" w:rsidR="00B9071F" w:rsidRPr="00E53977" w:rsidRDefault="00B9071F" w:rsidP="002771FB">
      <w:pPr>
        <w:pStyle w:val="List1"/>
      </w:pPr>
      <w:r w:rsidRPr="00E53977">
        <w:t xml:space="preserve">The NFA should conduct additional research to identify the root causes of the FBO’s non-compliances identified in the surveys as regards understanding the compliance regulations and international certification, and develop mechanisms to resolve these issues. </w:t>
      </w:r>
    </w:p>
    <w:p w14:paraId="53D20C73" w14:textId="2964133B" w:rsidR="00E4475D" w:rsidRPr="00E53977" w:rsidRDefault="00E4475D" w:rsidP="002771FB">
      <w:pPr>
        <w:pStyle w:val="List1"/>
      </w:pPr>
      <w:r w:rsidRPr="00E53977">
        <w:t xml:space="preserve">The NFA should increase its coordination with CSOs that are implementing public outreach and education </w:t>
      </w:r>
      <w:r w:rsidR="00626B79" w:rsidRPr="00E53977">
        <w:t>campaigns in parallel to the NFA’s external public outreach activities</w:t>
      </w:r>
      <w:r w:rsidR="00606480" w:rsidRPr="00E53977">
        <w:t xml:space="preserve"> to maximize the impact of the NFA’s activities. This coordination can be conducted </w:t>
      </w:r>
      <w:r w:rsidR="00513838" w:rsidRPr="00E53977">
        <w:t xml:space="preserve">potentially by hosting a </w:t>
      </w:r>
      <w:r w:rsidR="00606480" w:rsidRPr="00E53977">
        <w:t xml:space="preserve">coordinating event </w:t>
      </w:r>
      <w:r w:rsidR="00B37EC5" w:rsidRPr="00E53977">
        <w:t>with the CSOs</w:t>
      </w:r>
      <w:r w:rsidR="00606480" w:rsidRPr="00E53977">
        <w:t>.</w:t>
      </w:r>
      <w:r w:rsidR="00FB2250" w:rsidRPr="00E53977">
        <w:rPr>
          <w:rStyle w:val="FootnoteReference"/>
        </w:rPr>
        <w:footnoteReference w:id="20"/>
      </w:r>
    </w:p>
    <w:p w14:paraId="7F4274C1" w14:textId="1B23220A" w:rsidR="00B90BDA" w:rsidRPr="00E53977" w:rsidRDefault="00B90BDA" w:rsidP="00264013">
      <w:pPr>
        <w:pStyle w:val="List1"/>
      </w:pPr>
      <w:r w:rsidRPr="00E53977">
        <w:t xml:space="preserve">Some of the results of NFA monitoring and surveillance </w:t>
      </w:r>
      <w:r w:rsidR="00264013" w:rsidRPr="00264013">
        <w:rPr>
          <w:rFonts w:cs="Times New Roman"/>
        </w:rPr>
        <w:t>(5 summaries in 2017)</w:t>
      </w:r>
      <w:r w:rsidR="00264013">
        <w:rPr>
          <w:rFonts w:cs="Times New Roman"/>
        </w:rPr>
        <w:t xml:space="preserve">, </w:t>
      </w:r>
      <w:r w:rsidRPr="00E53977">
        <w:t>including the FBO names</w:t>
      </w:r>
      <w:r w:rsidR="00264013">
        <w:t xml:space="preserve"> </w:t>
      </w:r>
      <w:r w:rsidR="00264013" w:rsidRPr="00264013">
        <w:t>being sampled,</w:t>
      </w:r>
      <w:r w:rsidRPr="00E53977">
        <w:t xml:space="preserve"> are published on the NFA website; however, respondents stated this is not sufficient</w:t>
      </w:r>
      <w:r w:rsidR="00264013">
        <w:t>,</w:t>
      </w:r>
      <w:r w:rsidR="00264013" w:rsidRPr="00264013">
        <w:t xml:space="preserve"> as well as not according to the best international practices recommended by the experts. </w:t>
      </w:r>
      <w:r w:rsidRPr="00E53977">
        <w:t xml:space="preserve"> The NFA should consider publishing details of individual critical non-compliances and summaries of research. These details would also motivate other FBOs to improve operations.</w:t>
      </w:r>
    </w:p>
    <w:p w14:paraId="0E0F7297" w14:textId="77777777" w:rsidR="00B9071F" w:rsidRPr="00E53977" w:rsidRDefault="00B9071F" w:rsidP="002771FB">
      <w:pPr>
        <w:widowControl w:val="0"/>
        <w:spacing w:before="80" w:after="0" w:line="240" w:lineRule="auto"/>
        <w:rPr>
          <w:b/>
          <w:i/>
        </w:rPr>
      </w:pPr>
      <w:r w:rsidRPr="00E53977">
        <w:rPr>
          <w:b/>
          <w:i/>
        </w:rPr>
        <w:t>Control Issues</w:t>
      </w:r>
    </w:p>
    <w:p w14:paraId="01ABD437" w14:textId="77777777" w:rsidR="00B9071F" w:rsidRPr="00E53977" w:rsidRDefault="00B9071F" w:rsidP="002771FB">
      <w:pPr>
        <w:pStyle w:val="List1"/>
      </w:pPr>
      <w:bookmarkStart w:id="85" w:name="_Hlk480380065"/>
      <w:r w:rsidRPr="00E53977">
        <w:t xml:space="preserve">The traceability system needs to be adapted to the traceability of domestic products within and outside Georgia, which is currently limited in scope of products covered and in depth of information obtainable. </w:t>
      </w:r>
    </w:p>
    <w:p w14:paraId="37F8EECA" w14:textId="5F91891B" w:rsidR="00B9071F" w:rsidRPr="00E53977" w:rsidRDefault="0014083C" w:rsidP="0014083C">
      <w:pPr>
        <w:pStyle w:val="List1"/>
      </w:pPr>
      <w:r w:rsidRPr="00E53977">
        <w:t>NFA should be more active in identifying and applying penalties to sales locations that selling food products that are not traceable or are sourced from unregistered FBOs. Similarly, the NFA should apply stricter control over milk, meat, and dairy sales locations, particularly over open markets.</w:t>
      </w:r>
    </w:p>
    <w:p w14:paraId="63ED86B0" w14:textId="21C08F6F" w:rsidR="00B9071F" w:rsidRPr="004F3E77" w:rsidRDefault="004011E1" w:rsidP="00E63E72">
      <w:pPr>
        <w:pStyle w:val="List1"/>
      </w:pPr>
      <w:r>
        <w:t>Sector e</w:t>
      </w:r>
      <w:r w:rsidR="00E63E72" w:rsidRPr="00E63E72">
        <w:t xml:space="preserve">xperts and </w:t>
      </w:r>
      <w:r w:rsidR="00CD5030">
        <w:t>the</w:t>
      </w:r>
      <w:r w:rsidR="00E63E72" w:rsidRPr="00E63E72">
        <w:t xml:space="preserve"> majority of other </w:t>
      </w:r>
      <w:r w:rsidR="00E63E72">
        <w:t>r</w:t>
      </w:r>
      <w:r w:rsidR="00B9071F" w:rsidRPr="004F3E77">
        <w:t xml:space="preserve">espondents recommended that pastures and community herds (Nakhiries) should be inventoried to control overgrazing. Additionally, </w:t>
      </w:r>
      <w:r>
        <w:t>they</w:t>
      </w:r>
      <w:r w:rsidRPr="004F3E77">
        <w:t xml:space="preserve"> </w:t>
      </w:r>
      <w:r w:rsidR="00B9071F" w:rsidRPr="004F3E77">
        <w:t xml:space="preserve">recommended the in-barn system to be enforced throughout the country if Georgia </w:t>
      </w:r>
      <w:r w:rsidR="00B9071F" w:rsidRPr="004F3E77">
        <w:lastRenderedPageBreak/>
        <w:t>wants to receive third country status from the EU for the benefit of meat and dairy producers and respective produce.</w:t>
      </w:r>
    </w:p>
    <w:p w14:paraId="17270524" w14:textId="4A40DD05" w:rsidR="00B9071F" w:rsidRPr="00E53977" w:rsidRDefault="00B9071F" w:rsidP="002771FB">
      <w:pPr>
        <w:pStyle w:val="List1"/>
      </w:pPr>
      <w:r w:rsidRPr="00E53977">
        <w:t xml:space="preserve">The SRCA does not </w:t>
      </w:r>
      <w:r w:rsidR="0056258D">
        <w:t>receive</w:t>
      </w:r>
      <w:r w:rsidRPr="00E53977">
        <w:t xml:space="preserve"> enough information from the NFA’s monitoring control plan activities to conduct risk assessments. Due to the lack of SRCA staff and budget required to test for emerging threats, the NFA should include these additional tests into their monitoring plan.</w:t>
      </w:r>
    </w:p>
    <w:p w14:paraId="4EFCE2CF" w14:textId="1235EAC9" w:rsidR="00B9071F" w:rsidRPr="00E53977" w:rsidRDefault="00B9071F" w:rsidP="002771FB">
      <w:pPr>
        <w:pStyle w:val="List1"/>
      </w:pPr>
      <w:r w:rsidRPr="00E53977">
        <w:t xml:space="preserve">As expressed in the 2016 assessment, NFA should implement greater scope of control over all food businesses to eliminate unfair competition, particularly over unregistered FBOs and small FBOs. </w:t>
      </w:r>
      <w:r w:rsidRPr="00E53977">
        <w:rPr>
          <w:rFonts w:cs="Times New Roman"/>
          <w:szCs w:val="24"/>
        </w:rPr>
        <w:t>This will have the additional benefit of preventing growing FBOs from developing multiple companies to avoid crossing over this threshold, which has been cited by several respondents as a current activity in the market.</w:t>
      </w:r>
    </w:p>
    <w:p w14:paraId="798F6441" w14:textId="77777777" w:rsidR="00930D9D" w:rsidRPr="00E53977" w:rsidRDefault="00930D9D" w:rsidP="00930D9D">
      <w:pPr>
        <w:pStyle w:val="List1"/>
      </w:pPr>
      <w:r w:rsidRPr="00E53977">
        <w:t xml:space="preserve">The NFA and NCDC should conduct zoonotic disease outbreak simulations more often, similar to the theoretical and practical trainings conducted in 2015 by US Defense Threat Reduction Agency (DTRA). The NFA’s simulations of animal diseases should also involve staff from the NCDC and the relevant environmental department(s) of the MEPA. </w:t>
      </w:r>
    </w:p>
    <w:p w14:paraId="55068935" w14:textId="77777777" w:rsidR="00B9071F" w:rsidRPr="00E53977" w:rsidRDefault="00B9071F" w:rsidP="002771FB">
      <w:pPr>
        <w:widowControl w:val="0"/>
        <w:spacing w:before="80" w:after="0" w:line="240" w:lineRule="auto"/>
        <w:rPr>
          <w:b/>
          <w:i/>
        </w:rPr>
      </w:pPr>
      <w:r w:rsidRPr="00E53977">
        <w:rPr>
          <w:b/>
          <w:i/>
        </w:rPr>
        <w:t>Training and Human Resources</w:t>
      </w:r>
    </w:p>
    <w:bookmarkEnd w:id="84"/>
    <w:bookmarkEnd w:id="85"/>
    <w:p w14:paraId="76CA891F" w14:textId="77777777" w:rsidR="00B9071F" w:rsidRPr="00E53977" w:rsidRDefault="00B9071F" w:rsidP="002771FB">
      <w:pPr>
        <w:pStyle w:val="List1"/>
      </w:pPr>
      <w:r w:rsidRPr="00E53977">
        <w:t>After returning the veterinary medicine as a regulated profession, the GoG should work with donors to unify them on promoting veterinary education, potentially through grants for students in the regions, to return to the region and serve for a set period of time.</w:t>
      </w:r>
    </w:p>
    <w:p w14:paraId="52FB666B" w14:textId="77777777" w:rsidR="00B9071F" w:rsidRPr="00E53977" w:rsidRDefault="00B9071F" w:rsidP="002771FB">
      <w:pPr>
        <w:pStyle w:val="List1"/>
      </w:pPr>
      <w:r w:rsidRPr="00E53977">
        <w:t>The MEPA should attempt to reinforce its training center and identify a sustainable way to introduce and conduct its own food safety and SPS training programs. At the same time, the NFA should encourage donors not to conduct training programs independently, but rather in coordination with the MEPA training center.</w:t>
      </w:r>
    </w:p>
    <w:p w14:paraId="1194EFF7" w14:textId="77777777" w:rsidR="00B9071F" w:rsidRPr="00E53977" w:rsidRDefault="00B9071F" w:rsidP="002771FB">
      <w:pPr>
        <w:widowControl w:val="0"/>
        <w:spacing w:before="80" w:after="0" w:line="240" w:lineRule="auto"/>
        <w:rPr>
          <w:b/>
          <w:i/>
        </w:rPr>
      </w:pPr>
      <w:r w:rsidRPr="00E53977">
        <w:rPr>
          <w:b/>
          <w:i/>
        </w:rPr>
        <w:t>Water Supply Systems</w:t>
      </w:r>
    </w:p>
    <w:p w14:paraId="19C68916" w14:textId="76F323A0" w:rsidR="00B9071F" w:rsidRPr="00E53977" w:rsidRDefault="00B9071F" w:rsidP="002771FB">
      <w:pPr>
        <w:pStyle w:val="List1"/>
        <w:rPr>
          <w:rFonts w:cs="Times New Roman"/>
          <w:szCs w:val="24"/>
        </w:rPr>
      </w:pPr>
      <w:r w:rsidRPr="00E53977">
        <w:rPr>
          <w:rFonts w:cs="Times New Roman"/>
          <w:szCs w:val="24"/>
        </w:rPr>
        <w:t xml:space="preserve">The NFA should facilitate new training programs for its staff in conducting water analysis and risk assessments for water systems. </w:t>
      </w:r>
      <w:r w:rsidRPr="00E53977">
        <w:t xml:space="preserve">For example, NFA staff could participate in some of the 30 different training modules provided by the GWP for its staff after </w:t>
      </w:r>
      <w:r w:rsidR="00524ADC">
        <w:t>it</w:t>
      </w:r>
      <w:r w:rsidRPr="00E53977">
        <w:t xml:space="preserve"> has received accreditation as an educational institution to provide fee-based training</w:t>
      </w:r>
      <w:r w:rsidR="00E266A6">
        <w:t>s</w:t>
      </w:r>
      <w:r w:rsidRPr="00E53977">
        <w:t>.</w:t>
      </w:r>
    </w:p>
    <w:p w14:paraId="7085C6DD" w14:textId="7FBDCA3D" w:rsidR="00B9071F" w:rsidRPr="00E53977" w:rsidRDefault="00B9071F" w:rsidP="002771FB">
      <w:pPr>
        <w:pStyle w:val="List1"/>
        <w:rPr>
          <w:rFonts w:cs="Times New Roman"/>
          <w:szCs w:val="24"/>
        </w:rPr>
      </w:pPr>
      <w:r w:rsidRPr="00E53977">
        <w:rPr>
          <w:rFonts w:cs="Times New Roman"/>
          <w:szCs w:val="24"/>
        </w:rPr>
        <w:t>NFA should be empowered by legislation to act in case when municipalities are not able to improve their water systems after several non-compliances in NFA water monitoring.</w:t>
      </w:r>
    </w:p>
    <w:p w14:paraId="572AFD20" w14:textId="77777777" w:rsidR="00B9071F" w:rsidRPr="00E53977" w:rsidRDefault="00B9071F" w:rsidP="002771FB">
      <w:pPr>
        <w:pStyle w:val="Heading3"/>
      </w:pPr>
      <w:bookmarkStart w:id="86" w:name="_Toc508180541"/>
      <w:r w:rsidRPr="00E53977">
        <w:t>Science and Research Center of the Ministry of Environmental Protection and Agriculture</w:t>
      </w:r>
      <w:bookmarkEnd w:id="86"/>
      <w:r w:rsidRPr="00E53977">
        <w:t xml:space="preserve"> </w:t>
      </w:r>
    </w:p>
    <w:p w14:paraId="5761CCD0" w14:textId="77777777" w:rsidR="00796576" w:rsidRPr="00E53977" w:rsidRDefault="00796576" w:rsidP="00796576">
      <w:pPr>
        <w:pStyle w:val="ListParagraph"/>
        <w:widowControl w:val="0"/>
        <w:numPr>
          <w:ilvl w:val="0"/>
          <w:numId w:val="30"/>
        </w:numPr>
        <w:spacing w:line="240" w:lineRule="auto"/>
        <w:ind w:left="450"/>
        <w:rPr>
          <w:rFonts w:cs="Times New Roman"/>
        </w:rPr>
      </w:pPr>
      <w:bookmarkStart w:id="87" w:name="_Toc508180542"/>
      <w:r w:rsidRPr="00E53977">
        <w:rPr>
          <w:rFonts w:cs="Times New Roman"/>
        </w:rPr>
        <w:t>The SRCA needs greater access to better data from the NFA, MLHSA, RS, GeoStat and other GoG entities on animal health issues, food non-compliance incidences, human food poisonings, and food consumption data to estimate exposures to food safety risks.</w:t>
      </w:r>
    </w:p>
    <w:p w14:paraId="02BF982E" w14:textId="77777777" w:rsidR="00B9071F" w:rsidRPr="00E53977" w:rsidRDefault="00B9071F" w:rsidP="002771FB">
      <w:pPr>
        <w:pStyle w:val="Heading3"/>
      </w:pPr>
      <w:r w:rsidRPr="00E53977">
        <w:t xml:space="preserve">Ministry of Finance, Revenue Service </w:t>
      </w:r>
      <w:bookmarkEnd w:id="87"/>
      <w:r w:rsidRPr="00E53977">
        <w:t>Customs Department</w:t>
      </w:r>
    </w:p>
    <w:p w14:paraId="5C8089C8" w14:textId="77777777" w:rsidR="00BC6AE4" w:rsidRPr="00E53977" w:rsidRDefault="00BC6AE4" w:rsidP="00BC6AE4">
      <w:pPr>
        <w:pStyle w:val="ListParagraph"/>
        <w:widowControl w:val="0"/>
        <w:numPr>
          <w:ilvl w:val="0"/>
          <w:numId w:val="30"/>
        </w:numPr>
        <w:spacing w:line="240" w:lineRule="auto"/>
        <w:ind w:left="450"/>
        <w:rPr>
          <w:rFonts w:cs="Times New Roman"/>
        </w:rPr>
      </w:pPr>
      <w:bookmarkStart w:id="88" w:name="_Toc508180544"/>
      <w:r w:rsidRPr="00E53977">
        <w:rPr>
          <w:rFonts w:cs="Times New Roman"/>
        </w:rPr>
        <w:t>The RS Customs Department should identify additional partnerships to provide additional professional exchange programs and technical assistance from EU experts to ensure that the RS Customs Department is implementing new initiatives appropriately or how to adapt them to maximize their efficacy.</w:t>
      </w:r>
    </w:p>
    <w:p w14:paraId="5A6BF583" w14:textId="2FAB2F99" w:rsidR="00B9071F" w:rsidRPr="00E53977" w:rsidRDefault="00B9071F" w:rsidP="002771FB">
      <w:pPr>
        <w:pStyle w:val="Heading3"/>
      </w:pPr>
      <w:r w:rsidRPr="00E53977">
        <w:t>Ministry of Economy and Sustainable Development</w:t>
      </w:r>
      <w:bookmarkEnd w:id="88"/>
    </w:p>
    <w:p w14:paraId="33D89780" w14:textId="77777777" w:rsidR="000A5A59" w:rsidRPr="00E53977" w:rsidRDefault="000A5A59" w:rsidP="000A5A59">
      <w:pPr>
        <w:pStyle w:val="List1"/>
      </w:pPr>
      <w:r w:rsidRPr="00E53977">
        <w:t xml:space="preserve">The GAC should try to speed up the development of the national laboratory accreditation system to obtain mutual recognition from the </w:t>
      </w:r>
      <w:r w:rsidRPr="00E53977">
        <w:rPr>
          <w:rFonts w:eastAsia="Times New Roman"/>
          <w:szCs w:val="24"/>
          <w:lang w:eastAsia="en-GB"/>
        </w:rPr>
        <w:t xml:space="preserve">EA, and </w:t>
      </w:r>
      <w:r w:rsidRPr="00E53977">
        <w:t xml:space="preserve">it should also promote the establishment of one or more reference laboratories to focus on covering the majority of methodologies related to laboratory analyses for food safety and SPS purposes. </w:t>
      </w:r>
    </w:p>
    <w:p w14:paraId="1815E90E" w14:textId="77777777" w:rsidR="00B9071F" w:rsidRPr="00E53977" w:rsidRDefault="00B9071F" w:rsidP="002771FB">
      <w:pPr>
        <w:pStyle w:val="List1"/>
      </w:pPr>
      <w:r w:rsidRPr="00E53977">
        <w:t xml:space="preserve">In case of some municipalities having not sufficient resources to ensure safe water supplies </w:t>
      </w:r>
      <w:r w:rsidRPr="00E53977">
        <w:lastRenderedPageBreak/>
        <w:t xml:space="preserve">to all their villages, MoESD should encourage private companies to offer their services to take over the water supply systems also in village areas. </w:t>
      </w:r>
    </w:p>
    <w:p w14:paraId="1B9A88B8" w14:textId="77777777" w:rsidR="00B9071F" w:rsidRPr="00E53977" w:rsidRDefault="00B9071F" w:rsidP="002771FB">
      <w:pPr>
        <w:pStyle w:val="Heading3"/>
      </w:pPr>
      <w:bookmarkStart w:id="89" w:name="_Toc508180545"/>
      <w:r w:rsidRPr="00E53977">
        <w:t>Ministry of Labor, Health, and Social Affairs</w:t>
      </w:r>
      <w:bookmarkEnd w:id="89"/>
    </w:p>
    <w:bookmarkEnd w:id="79"/>
    <w:p w14:paraId="30A79E59" w14:textId="77777777" w:rsidR="00E462C4" w:rsidRPr="00E53977" w:rsidRDefault="00E462C4" w:rsidP="00E462C4">
      <w:pPr>
        <w:pStyle w:val="List1"/>
      </w:pPr>
      <w:r w:rsidRPr="00E53977">
        <w:t>The National Anti-Microbial Resistance Strategy, which commenced fully in 2017 by joint implementation by the MEPA, the NFA, and MLHSA, requires a long-term budget to enable coordination and financing necessary to implementation activities. Additionally, MLHSA should take responsibility for approving and registering veterinary medicines according to the strategy to avoid indirect development of anti-microbial resistance from foods of animal origin. MLHSA and MEPA should harmonize their systems for the approval and registering of antibiotics for animal and human usage separately.</w:t>
      </w:r>
    </w:p>
    <w:p w14:paraId="2D5CD727" w14:textId="77777777" w:rsidR="00B9071F" w:rsidRPr="00E53977" w:rsidRDefault="00B9071F" w:rsidP="002771FB">
      <w:pPr>
        <w:pStyle w:val="List1"/>
      </w:pPr>
      <w:r w:rsidRPr="00E53977">
        <w:t>MLHSA and NCDC should develop a food-borne reporting system which would report suspected and confirmed cases separately thereby enabling the NCDC and NFA epidemiologists to focus on finding the causes of real food-borne incidents.</w:t>
      </w:r>
    </w:p>
    <w:p w14:paraId="5DB6C211" w14:textId="77777777" w:rsidR="00B9071F" w:rsidRPr="00E53977" w:rsidRDefault="00B9071F" w:rsidP="002771FB">
      <w:pPr>
        <w:pStyle w:val="Heading3"/>
      </w:pPr>
      <w:bookmarkStart w:id="90" w:name="_Toc508180546"/>
      <w:r w:rsidRPr="00E53977">
        <w:t>Ministry of Infrastructure and Regional Development (and United Water Supply Company)</w:t>
      </w:r>
      <w:bookmarkEnd w:id="90"/>
    </w:p>
    <w:p w14:paraId="473FEA48" w14:textId="35268625" w:rsidR="00B9071F" w:rsidRPr="00E53977" w:rsidRDefault="00B9071F" w:rsidP="002771FB">
      <w:pPr>
        <w:pStyle w:val="List1"/>
      </w:pPr>
      <w:bookmarkStart w:id="91" w:name="_Toc508180547"/>
      <w:bookmarkStart w:id="92" w:name="_Hlk480380253"/>
      <w:r w:rsidRPr="00E53977">
        <w:t xml:space="preserve">As mentioned in the 2016 assessment, the MoIRD and UWSC should identify a strategy to determine the discrepancies between the NFA sampling results and those from water distributors and create action plans for cases of confirmed non-compliances. The MoIRD should coordinate with local municipalities to ensure the provision of safe water and organize the necessary testing to monitor </w:t>
      </w:r>
      <w:r w:rsidR="00F1179E">
        <w:t xml:space="preserve">water </w:t>
      </w:r>
      <w:r w:rsidRPr="00E53977">
        <w:t>quality in areas where distribution networks are not present.</w:t>
      </w:r>
    </w:p>
    <w:p w14:paraId="7A0B9967" w14:textId="77777777" w:rsidR="00B9071F" w:rsidRPr="00E53977" w:rsidRDefault="00B9071F" w:rsidP="002771FB">
      <w:pPr>
        <w:pStyle w:val="List1"/>
      </w:pPr>
      <w:r w:rsidRPr="00E53977">
        <w:t xml:space="preserve">MoIRD should encourage and finance municipalities to arrange safe water treatment, filtering and disinfection equipment as well as the pipe network for all villages with water problems as identified by NFA sampling. </w:t>
      </w:r>
    </w:p>
    <w:p w14:paraId="2A090F09" w14:textId="77777777" w:rsidR="00B9071F" w:rsidRPr="00E53977" w:rsidRDefault="00B9071F" w:rsidP="002771FB">
      <w:pPr>
        <w:pStyle w:val="Heading3"/>
      </w:pPr>
      <w:r w:rsidRPr="00E53977">
        <w:t>Parliament of Georgia</w:t>
      </w:r>
      <w:bookmarkEnd w:id="91"/>
    </w:p>
    <w:bookmarkEnd w:id="62"/>
    <w:bookmarkEnd w:id="80"/>
    <w:bookmarkEnd w:id="92"/>
    <w:p w14:paraId="5CCB33A4" w14:textId="77777777" w:rsidR="000A379B" w:rsidRPr="00E53977" w:rsidRDefault="000A379B" w:rsidP="000A379B">
      <w:pPr>
        <w:pStyle w:val="List1"/>
        <w:rPr>
          <w:rFonts w:eastAsiaTheme="majorEastAsia" w:cstheme="minorHAnsi"/>
          <w:b/>
          <w:caps/>
          <w:color w:val="0070C0"/>
          <w:sz w:val="28"/>
          <w:szCs w:val="32"/>
        </w:rPr>
      </w:pPr>
      <w:r w:rsidRPr="00E53977">
        <w:t>The Parliament, with the MEPA, should introduce changes to the Georgian law “Code on Food/Feed Safety, Veterinary and Plant Protection” to adjust the level of penalties for food safety violations to make them relevant to ensure compliance according to the seriousness of the violation(s) and the production volume and/or turnover of the respective FBO.</w:t>
      </w:r>
    </w:p>
    <w:p w14:paraId="6D34CF41" w14:textId="605E266B" w:rsidR="00B9071F" w:rsidRPr="00E53977" w:rsidRDefault="00B9071F" w:rsidP="002771FB">
      <w:pPr>
        <w:widowControl w:val="0"/>
        <w:spacing w:line="240" w:lineRule="auto"/>
        <w:jc w:val="left"/>
        <w:rPr>
          <w:rFonts w:eastAsiaTheme="majorEastAsia" w:cstheme="minorHAnsi"/>
          <w:b/>
          <w:caps/>
          <w:color w:val="0070C0"/>
          <w:sz w:val="28"/>
          <w:szCs w:val="32"/>
        </w:rPr>
      </w:pPr>
    </w:p>
    <w:p w14:paraId="48A9D40F" w14:textId="77777777" w:rsidR="00C16BEB" w:rsidRPr="00E53977" w:rsidRDefault="00C16BEB" w:rsidP="002771FB">
      <w:pPr>
        <w:pStyle w:val="Heading1"/>
        <w:widowControl w:val="0"/>
        <w:sectPr w:rsidR="00C16BEB" w:rsidRPr="00E53977" w:rsidSect="00DD3185">
          <w:headerReference w:type="default" r:id="rId16"/>
          <w:type w:val="continuous"/>
          <w:pgSz w:w="11906" w:h="16838" w:code="9"/>
          <w:pgMar w:top="1440" w:right="1440" w:bottom="1440" w:left="1440" w:header="720" w:footer="720" w:gutter="0"/>
          <w:cols w:space="720"/>
          <w:titlePg/>
          <w:docGrid w:linePitch="360"/>
        </w:sectPr>
      </w:pPr>
    </w:p>
    <w:p w14:paraId="1DFFEAAD" w14:textId="3E81F4BB" w:rsidR="00B9071F" w:rsidRPr="00E53977" w:rsidRDefault="00445C04" w:rsidP="002771FB">
      <w:pPr>
        <w:pStyle w:val="Heading1"/>
        <w:widowControl w:val="0"/>
      </w:pPr>
      <w:bookmarkStart w:id="93" w:name="_Toc520906386"/>
      <w:r w:rsidRPr="00E53977">
        <w:rPr>
          <w:caps w:val="0"/>
        </w:rPr>
        <w:lastRenderedPageBreak/>
        <w:t xml:space="preserve">ANNEX </w:t>
      </w:r>
      <w:r w:rsidR="00B9071F" w:rsidRPr="00E53977">
        <w:t xml:space="preserve">1: </w:t>
      </w:r>
      <w:bookmarkEnd w:id="59"/>
      <w:r w:rsidR="00B9071F" w:rsidRPr="00E53977">
        <w:t>LEGISLATION APPROXIMATED IN 2017</w:t>
      </w:r>
      <w:bookmarkEnd w:id="93"/>
    </w:p>
    <w:tbl>
      <w:tblPr>
        <w:tblStyle w:val="Vaalearuudukkotaulukko11"/>
        <w:tblW w:w="9918" w:type="dxa"/>
        <w:tblLook w:val="04A0" w:firstRow="1" w:lastRow="0" w:firstColumn="1" w:lastColumn="0" w:noHBand="0" w:noVBand="1"/>
      </w:tblPr>
      <w:tblGrid>
        <w:gridCol w:w="416"/>
        <w:gridCol w:w="1072"/>
        <w:gridCol w:w="3008"/>
        <w:gridCol w:w="3124"/>
        <w:gridCol w:w="1095"/>
        <w:gridCol w:w="1203"/>
      </w:tblGrid>
      <w:tr w:rsidR="00B9071F" w:rsidRPr="00E53977" w14:paraId="1CCECA03" w14:textId="77777777" w:rsidTr="00FF58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70C0"/>
          </w:tcPr>
          <w:p w14:paraId="7DDA9E46" w14:textId="77777777" w:rsidR="00B9071F" w:rsidRPr="00E53977" w:rsidRDefault="00B9071F" w:rsidP="002771FB">
            <w:pPr>
              <w:widowControl w:val="0"/>
              <w:rPr>
                <w:rFonts w:cs="Times New Roman"/>
                <w:b w:val="0"/>
                <w:color w:val="FFFFFF" w:themeColor="background1"/>
                <w:sz w:val="20"/>
                <w:szCs w:val="20"/>
              </w:rPr>
            </w:pPr>
          </w:p>
        </w:tc>
        <w:tc>
          <w:tcPr>
            <w:tcW w:w="0" w:type="auto"/>
            <w:shd w:val="clear" w:color="auto" w:fill="0070C0"/>
          </w:tcPr>
          <w:p w14:paraId="46F6E2CF" w14:textId="77777777" w:rsidR="00B9071F" w:rsidRPr="00E53977" w:rsidRDefault="00B9071F" w:rsidP="002771FB">
            <w:pPr>
              <w:widowControl w:val="0"/>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20"/>
                <w:szCs w:val="20"/>
              </w:rPr>
            </w:pPr>
            <w:r w:rsidRPr="00E53977">
              <w:rPr>
                <w:rFonts w:cs="Times New Roman"/>
                <w:color w:val="FFFFFF" w:themeColor="background1"/>
                <w:sz w:val="20"/>
                <w:szCs w:val="20"/>
              </w:rPr>
              <w:t>Policy Area</w:t>
            </w:r>
          </w:p>
        </w:tc>
        <w:tc>
          <w:tcPr>
            <w:tcW w:w="3008" w:type="dxa"/>
            <w:shd w:val="clear" w:color="auto" w:fill="0070C0"/>
          </w:tcPr>
          <w:p w14:paraId="0867F0F3" w14:textId="77777777" w:rsidR="00B9071F" w:rsidRPr="00E53977" w:rsidRDefault="00B9071F" w:rsidP="002771FB">
            <w:pPr>
              <w:widowControl w:val="0"/>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20"/>
                <w:szCs w:val="20"/>
              </w:rPr>
            </w:pPr>
            <w:r w:rsidRPr="00E53977">
              <w:rPr>
                <w:rFonts w:cs="Times New Roman"/>
                <w:color w:val="FFFFFF" w:themeColor="background1"/>
                <w:sz w:val="20"/>
                <w:szCs w:val="20"/>
              </w:rPr>
              <w:t>EU Legislation</w:t>
            </w:r>
          </w:p>
        </w:tc>
        <w:tc>
          <w:tcPr>
            <w:tcW w:w="3124" w:type="dxa"/>
            <w:shd w:val="clear" w:color="auto" w:fill="0070C0"/>
          </w:tcPr>
          <w:p w14:paraId="16935446" w14:textId="77777777" w:rsidR="00B9071F" w:rsidRPr="00E53977" w:rsidRDefault="00B9071F" w:rsidP="002771FB">
            <w:pPr>
              <w:widowControl w:val="0"/>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20"/>
                <w:szCs w:val="20"/>
              </w:rPr>
            </w:pPr>
            <w:r w:rsidRPr="00E53977">
              <w:rPr>
                <w:rFonts w:cs="Times New Roman"/>
                <w:color w:val="FFFFFF" w:themeColor="background1"/>
                <w:sz w:val="20"/>
                <w:szCs w:val="20"/>
              </w:rPr>
              <w:t>Legislation of Georgia</w:t>
            </w:r>
          </w:p>
        </w:tc>
        <w:tc>
          <w:tcPr>
            <w:tcW w:w="1095" w:type="dxa"/>
            <w:shd w:val="clear" w:color="auto" w:fill="0070C0"/>
          </w:tcPr>
          <w:p w14:paraId="2D14CB89" w14:textId="77777777" w:rsidR="00B9071F" w:rsidRPr="00E53977" w:rsidRDefault="00B9071F" w:rsidP="002771FB">
            <w:pPr>
              <w:widowControl w:val="0"/>
              <w:jc w:val="left"/>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20"/>
                <w:szCs w:val="20"/>
              </w:rPr>
            </w:pPr>
            <w:r w:rsidRPr="00E53977">
              <w:rPr>
                <w:rFonts w:cs="Times New Roman"/>
                <w:color w:val="FFFFFF" w:themeColor="background1"/>
                <w:sz w:val="20"/>
                <w:szCs w:val="20"/>
              </w:rPr>
              <w:t>Adoption</w:t>
            </w:r>
          </w:p>
        </w:tc>
        <w:tc>
          <w:tcPr>
            <w:tcW w:w="1203" w:type="dxa"/>
            <w:shd w:val="clear" w:color="auto" w:fill="0070C0"/>
          </w:tcPr>
          <w:p w14:paraId="11D112E6" w14:textId="77777777" w:rsidR="00B9071F" w:rsidRPr="00E53977" w:rsidRDefault="00B9071F" w:rsidP="002771FB">
            <w:pPr>
              <w:widowControl w:val="0"/>
              <w:ind w:left="-62" w:right="-106" w:hanging="62"/>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20"/>
                <w:szCs w:val="20"/>
              </w:rPr>
            </w:pPr>
            <w:r w:rsidRPr="00E53977">
              <w:rPr>
                <w:rFonts w:cs="Times New Roman"/>
                <w:color w:val="FFFFFF" w:themeColor="background1"/>
                <w:sz w:val="20"/>
                <w:szCs w:val="20"/>
              </w:rPr>
              <w:t>Enforcement</w:t>
            </w:r>
          </w:p>
        </w:tc>
      </w:tr>
      <w:tr w:rsidR="00B9071F" w:rsidRPr="00E53977" w14:paraId="65ED6145"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4428A15E"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1</w:t>
            </w:r>
          </w:p>
        </w:tc>
        <w:tc>
          <w:tcPr>
            <w:tcW w:w="0" w:type="auto"/>
            <w:shd w:val="clear" w:color="auto" w:fill="BDD6EE" w:themeFill="accent5" w:themeFillTint="66"/>
          </w:tcPr>
          <w:p w14:paraId="65C3698A"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Food Safety</w:t>
            </w:r>
          </w:p>
        </w:tc>
        <w:tc>
          <w:tcPr>
            <w:tcW w:w="3008" w:type="dxa"/>
          </w:tcPr>
          <w:p w14:paraId="14B4BD89" w14:textId="2A063F2C" w:rsidR="00B9071F" w:rsidRPr="00E53977" w:rsidRDefault="005E3D9E"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 xml:space="preserve">Commission Decision </w:t>
            </w:r>
            <w:r w:rsidR="00B9071F" w:rsidRPr="00E53977">
              <w:rPr>
                <w:rFonts w:cs="Times New Roman"/>
                <w:sz w:val="20"/>
                <w:szCs w:val="20"/>
              </w:rPr>
              <w:t>94/360/EC of 20 May 1994 on the reduced frequency of physical checks of consignments of certain products to be implemented from third countries, under Council Directive 90/675/EEC</w:t>
            </w:r>
          </w:p>
        </w:tc>
        <w:tc>
          <w:tcPr>
            <w:tcW w:w="3124" w:type="dxa"/>
          </w:tcPr>
          <w:p w14:paraId="74D7E18C"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Decree N354 of the Government of Georgia of July 21, 2017 On the Amendments to the Decree N 429 of the Government of Georgia of December 31, 2010 on the Approval of the Rule for Implementation of the Phytosanitary Border Quarantine Control and Veterinary Border Quarantine Control</w:t>
            </w:r>
          </w:p>
        </w:tc>
        <w:tc>
          <w:tcPr>
            <w:tcW w:w="1095" w:type="dxa"/>
          </w:tcPr>
          <w:p w14:paraId="18F49B38"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July 21, 2017</w:t>
            </w:r>
          </w:p>
        </w:tc>
        <w:tc>
          <w:tcPr>
            <w:tcW w:w="1203" w:type="dxa"/>
          </w:tcPr>
          <w:p w14:paraId="7AF3616C" w14:textId="149C4B5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July 21,</w:t>
            </w:r>
            <w:r w:rsidR="00AB6B2F" w:rsidRPr="00E53977">
              <w:rPr>
                <w:rFonts w:cs="Times New Roman"/>
                <w:sz w:val="20"/>
                <w:szCs w:val="20"/>
              </w:rPr>
              <w:t xml:space="preserve"> </w:t>
            </w:r>
            <w:r w:rsidRPr="00E53977">
              <w:rPr>
                <w:rFonts w:cs="Times New Roman"/>
                <w:sz w:val="20"/>
                <w:szCs w:val="20"/>
              </w:rPr>
              <w:t>2017</w:t>
            </w:r>
          </w:p>
        </w:tc>
      </w:tr>
      <w:tr w:rsidR="00B9071F" w:rsidRPr="00E53977" w14:paraId="68EA7D5C"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5EB989C7"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2</w:t>
            </w:r>
          </w:p>
        </w:tc>
        <w:tc>
          <w:tcPr>
            <w:tcW w:w="0" w:type="auto"/>
            <w:shd w:val="clear" w:color="auto" w:fill="BDD6EE" w:themeFill="accent5" w:themeFillTint="66"/>
          </w:tcPr>
          <w:p w14:paraId="0EE77ED9"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Food Safety</w:t>
            </w:r>
          </w:p>
        </w:tc>
        <w:tc>
          <w:tcPr>
            <w:tcW w:w="3008" w:type="dxa"/>
          </w:tcPr>
          <w:p w14:paraId="61F9FF5B"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Directive 2011/91/EU of the European Parliament and of the Council of 13 December 2011 on indications or marks identifying the lot to which a foodstuff belongs (codification)</w:t>
            </w:r>
          </w:p>
        </w:tc>
        <w:tc>
          <w:tcPr>
            <w:tcW w:w="3124" w:type="dxa"/>
          </w:tcPr>
          <w:p w14:paraId="4EC62C8F"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Decree N456 of the Government of Georgia of October 6, 2017 On Approval of the rule on identification of lot to which the foodstuff belongs</w:t>
            </w:r>
          </w:p>
        </w:tc>
        <w:tc>
          <w:tcPr>
            <w:tcW w:w="1095" w:type="dxa"/>
          </w:tcPr>
          <w:p w14:paraId="23A8565F"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October 6, 2017</w:t>
            </w:r>
          </w:p>
        </w:tc>
        <w:tc>
          <w:tcPr>
            <w:tcW w:w="1203" w:type="dxa"/>
          </w:tcPr>
          <w:p w14:paraId="0C064DFC"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January 1, 2018</w:t>
            </w:r>
          </w:p>
        </w:tc>
      </w:tr>
      <w:tr w:rsidR="00B9071F" w:rsidRPr="00E53977" w14:paraId="65E9DE19"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06D810D6"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3</w:t>
            </w:r>
          </w:p>
        </w:tc>
        <w:tc>
          <w:tcPr>
            <w:tcW w:w="0" w:type="auto"/>
            <w:shd w:val="clear" w:color="auto" w:fill="BDD6EE" w:themeFill="accent5" w:themeFillTint="66"/>
          </w:tcPr>
          <w:p w14:paraId="2A0A9020"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Food Safety</w:t>
            </w:r>
          </w:p>
        </w:tc>
        <w:tc>
          <w:tcPr>
            <w:tcW w:w="3008" w:type="dxa"/>
          </w:tcPr>
          <w:p w14:paraId="7247DFCF"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Council Decision 92/608/EEC of 14 November 1992 laying down methods for the analysis and testing of heat-treated milk for direct human consumption.</w:t>
            </w:r>
          </w:p>
        </w:tc>
        <w:tc>
          <w:tcPr>
            <w:tcW w:w="3124" w:type="dxa"/>
          </w:tcPr>
          <w:p w14:paraId="4A61ED47"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Decree N195 of the Government of Georgia of April 13, 2017, on the Methods of Analysis and Examination of Heat-Treated Milk Intended for Direct Human Consumption</w:t>
            </w:r>
          </w:p>
        </w:tc>
        <w:tc>
          <w:tcPr>
            <w:tcW w:w="1095" w:type="dxa"/>
          </w:tcPr>
          <w:p w14:paraId="29D897FB"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April 13, 2017</w:t>
            </w:r>
          </w:p>
        </w:tc>
        <w:tc>
          <w:tcPr>
            <w:tcW w:w="1203" w:type="dxa"/>
          </w:tcPr>
          <w:p w14:paraId="754B5431"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January 1, 2018</w:t>
            </w:r>
          </w:p>
        </w:tc>
      </w:tr>
      <w:tr w:rsidR="00B9071F" w:rsidRPr="00E53977" w14:paraId="6850C863"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57FA607D"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 xml:space="preserve">4 </w:t>
            </w:r>
          </w:p>
        </w:tc>
        <w:tc>
          <w:tcPr>
            <w:tcW w:w="0" w:type="auto"/>
            <w:shd w:val="clear" w:color="auto" w:fill="BDD6EE" w:themeFill="accent5" w:themeFillTint="66"/>
          </w:tcPr>
          <w:p w14:paraId="3B547B78"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Food Safety</w:t>
            </w:r>
          </w:p>
        </w:tc>
        <w:tc>
          <w:tcPr>
            <w:tcW w:w="3008" w:type="dxa"/>
          </w:tcPr>
          <w:p w14:paraId="33117F30"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Commission Regulation (EC) No 645/2000 of 28 March 2000 setting out detailed implementing rules necessary for the proper functioning of certain provisions of Article 7 of Council Directive 86/362/EEC and of Article 4 of Council Directive 90/642/EEC concerning the arrangements for monitoring the maximum levels of pesticide residues in and on cereals and products of plant origin, including fruit and vegetables.</w:t>
            </w:r>
          </w:p>
        </w:tc>
        <w:tc>
          <w:tcPr>
            <w:tcW w:w="3124" w:type="dxa"/>
          </w:tcPr>
          <w:p w14:paraId="4149310D"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E53977">
              <w:rPr>
                <w:rFonts w:cs="Times New Roman"/>
                <w:i/>
                <w:sz w:val="20"/>
                <w:szCs w:val="20"/>
              </w:rPr>
              <w:t>Existing legislation of Georgia is already approximated to this regulation. Namely those topics which are relevant for Georgia are already reflected in the Food/feed safety, Veterinary and Plant Protection Code.</w:t>
            </w:r>
          </w:p>
          <w:p w14:paraId="2FEB86AE"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5" w:type="dxa"/>
          </w:tcPr>
          <w:p w14:paraId="799A9B92"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Not Applicable</w:t>
            </w:r>
          </w:p>
        </w:tc>
        <w:tc>
          <w:tcPr>
            <w:tcW w:w="1203" w:type="dxa"/>
          </w:tcPr>
          <w:p w14:paraId="3B4F327D"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Not Applicable</w:t>
            </w:r>
          </w:p>
        </w:tc>
      </w:tr>
      <w:tr w:rsidR="00B9071F" w:rsidRPr="00E53977" w14:paraId="7FB0BD83"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7E247C24"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5</w:t>
            </w:r>
          </w:p>
        </w:tc>
        <w:tc>
          <w:tcPr>
            <w:tcW w:w="0" w:type="auto"/>
            <w:shd w:val="clear" w:color="auto" w:fill="BDD6EE" w:themeFill="accent5" w:themeFillTint="66"/>
          </w:tcPr>
          <w:p w14:paraId="58BB6CC9"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Food Safety</w:t>
            </w:r>
          </w:p>
        </w:tc>
        <w:tc>
          <w:tcPr>
            <w:tcW w:w="3008" w:type="dxa"/>
          </w:tcPr>
          <w:p w14:paraId="294930AA"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Commission Implementing Regulation (EU) No 489/2012 of 8 June 2012 establishing implementing rules for the application of Article 16 of Regulation (EC) No 1925/2006 of the European Parliament and of the Council on the addition of vitamins and minerals and of certain other substances to foods</w:t>
            </w:r>
          </w:p>
        </w:tc>
        <w:tc>
          <w:tcPr>
            <w:tcW w:w="3124" w:type="dxa"/>
          </w:tcPr>
          <w:p w14:paraId="77DCB4D5"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E53977">
              <w:rPr>
                <w:rFonts w:cs="Times New Roman"/>
                <w:i/>
                <w:sz w:val="20"/>
                <w:szCs w:val="20"/>
              </w:rPr>
              <w:t>It had been agreed with the Commission that this Regulation is not relevant for Georgia and this decision was stated in the minute of the EU-Georgia Sanitary and Phytosanitary Sub-Committee.</w:t>
            </w:r>
          </w:p>
        </w:tc>
        <w:tc>
          <w:tcPr>
            <w:tcW w:w="1095" w:type="dxa"/>
          </w:tcPr>
          <w:p w14:paraId="69124FBB"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Not Applicable</w:t>
            </w:r>
          </w:p>
        </w:tc>
        <w:tc>
          <w:tcPr>
            <w:tcW w:w="1203" w:type="dxa"/>
          </w:tcPr>
          <w:p w14:paraId="7E89989D"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Not Applicable</w:t>
            </w:r>
          </w:p>
        </w:tc>
      </w:tr>
      <w:tr w:rsidR="00B9071F" w:rsidRPr="00E53977" w14:paraId="4BF16A16"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3A633BCF"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 xml:space="preserve">6 </w:t>
            </w:r>
          </w:p>
        </w:tc>
        <w:tc>
          <w:tcPr>
            <w:tcW w:w="0" w:type="auto"/>
            <w:shd w:val="clear" w:color="auto" w:fill="BDD6EE" w:themeFill="accent5" w:themeFillTint="66"/>
          </w:tcPr>
          <w:p w14:paraId="0BFA395D"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Food Safety</w:t>
            </w:r>
          </w:p>
        </w:tc>
        <w:tc>
          <w:tcPr>
            <w:tcW w:w="3008" w:type="dxa"/>
          </w:tcPr>
          <w:p w14:paraId="19774B00"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 xml:space="preserve">Regulation (EU) No 307/2012 of 11 April 2012 establishing implementing rules for the application of Article 8 of Regulation (EC) No 1925/2006 of the European Parliament and of the Council on the addition of vitamins and minerals and of certain other </w:t>
            </w:r>
            <w:r w:rsidRPr="00E53977">
              <w:rPr>
                <w:rFonts w:cs="Times New Roman"/>
                <w:sz w:val="20"/>
                <w:szCs w:val="20"/>
              </w:rPr>
              <w:lastRenderedPageBreak/>
              <w:t>substances to foods</w:t>
            </w:r>
          </w:p>
        </w:tc>
        <w:tc>
          <w:tcPr>
            <w:tcW w:w="3124" w:type="dxa"/>
          </w:tcPr>
          <w:p w14:paraId="10850AE8"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lastRenderedPageBreak/>
              <w:t xml:space="preserve">Decree N303 of the Government of Georgia of June 26, 2017 on “Amending Decree of the Government of Georgia № 508 of November 17, 2016, on the Approval of Technical Regulation on the Addition of Vitamins, Minerals and Certain Other </w:t>
            </w:r>
            <w:r w:rsidRPr="00E53977">
              <w:rPr>
                <w:rFonts w:cs="Times New Roman"/>
                <w:sz w:val="20"/>
                <w:szCs w:val="20"/>
              </w:rPr>
              <w:lastRenderedPageBreak/>
              <w:t>Substances in Food”</w:t>
            </w:r>
          </w:p>
        </w:tc>
        <w:tc>
          <w:tcPr>
            <w:tcW w:w="1095" w:type="dxa"/>
          </w:tcPr>
          <w:p w14:paraId="5B0019D5"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lastRenderedPageBreak/>
              <w:t>June 26, 2017</w:t>
            </w:r>
          </w:p>
        </w:tc>
        <w:tc>
          <w:tcPr>
            <w:tcW w:w="1203" w:type="dxa"/>
          </w:tcPr>
          <w:p w14:paraId="2DEBD905" w14:textId="77777777" w:rsidR="00B9071F" w:rsidRPr="00E53977" w:rsidRDefault="00B9071F" w:rsidP="002771FB">
            <w:pPr>
              <w:widowControl w:val="0"/>
              <w:ind w:left="-16"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June 26, 2017</w:t>
            </w:r>
          </w:p>
        </w:tc>
      </w:tr>
      <w:tr w:rsidR="00B9071F" w:rsidRPr="00E53977" w14:paraId="6F27E4E0"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077F9C99"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 xml:space="preserve">7 </w:t>
            </w:r>
          </w:p>
        </w:tc>
        <w:tc>
          <w:tcPr>
            <w:tcW w:w="0" w:type="auto"/>
            <w:shd w:val="clear" w:color="auto" w:fill="BDD6EE" w:themeFill="accent5" w:themeFillTint="66"/>
          </w:tcPr>
          <w:p w14:paraId="45A73B73"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Food Safety</w:t>
            </w:r>
          </w:p>
        </w:tc>
        <w:tc>
          <w:tcPr>
            <w:tcW w:w="3008" w:type="dxa"/>
          </w:tcPr>
          <w:p w14:paraId="3BA08883"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w:t>
            </w:r>
          </w:p>
        </w:tc>
        <w:tc>
          <w:tcPr>
            <w:tcW w:w="3124" w:type="dxa"/>
          </w:tcPr>
          <w:p w14:paraId="18A1EC59"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Decree N370 of the Government of Georgia of July 27, 2017 “Technical Regulation – on food intended for infants and young children, food for special medical purposes, and total diet replacement for weight control”</w:t>
            </w:r>
          </w:p>
        </w:tc>
        <w:tc>
          <w:tcPr>
            <w:tcW w:w="1095" w:type="dxa"/>
          </w:tcPr>
          <w:p w14:paraId="16F4D53F"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July 27, 2017</w:t>
            </w:r>
          </w:p>
        </w:tc>
        <w:tc>
          <w:tcPr>
            <w:tcW w:w="1203" w:type="dxa"/>
          </w:tcPr>
          <w:p w14:paraId="49A58D3B" w14:textId="4B02F975"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May 1,</w:t>
            </w:r>
            <w:r w:rsidR="00AB6B2F" w:rsidRPr="00E53977">
              <w:rPr>
                <w:rFonts w:cs="Times New Roman"/>
                <w:sz w:val="20"/>
                <w:szCs w:val="20"/>
              </w:rPr>
              <w:t xml:space="preserve"> </w:t>
            </w:r>
            <w:r w:rsidRPr="00E53977">
              <w:rPr>
                <w:rFonts w:cs="Times New Roman"/>
                <w:sz w:val="20"/>
                <w:szCs w:val="20"/>
              </w:rPr>
              <w:t>2018</w:t>
            </w:r>
          </w:p>
        </w:tc>
      </w:tr>
      <w:tr w:rsidR="00B9071F" w:rsidRPr="00E53977" w14:paraId="16E5E280"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68845A69"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8</w:t>
            </w:r>
          </w:p>
        </w:tc>
        <w:tc>
          <w:tcPr>
            <w:tcW w:w="0" w:type="auto"/>
            <w:shd w:val="clear" w:color="auto" w:fill="BDD6EE" w:themeFill="accent5" w:themeFillTint="66"/>
          </w:tcPr>
          <w:p w14:paraId="388D63DC"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Food Safety</w:t>
            </w:r>
          </w:p>
        </w:tc>
        <w:tc>
          <w:tcPr>
            <w:tcW w:w="3008" w:type="dxa"/>
          </w:tcPr>
          <w:p w14:paraId="233CB01D"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Regulation (EC) No 1331/2008 OF the European Parliament and of the Council of 16 December 2008 establishing a common authorization procedure for food additives, food enzymes and food flavorings</w:t>
            </w:r>
          </w:p>
        </w:tc>
        <w:tc>
          <w:tcPr>
            <w:tcW w:w="3124" w:type="dxa"/>
          </w:tcPr>
          <w:p w14:paraId="6A3CFD0F"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E53977">
              <w:rPr>
                <w:rFonts w:cs="Times New Roman"/>
                <w:i/>
                <w:sz w:val="20"/>
                <w:szCs w:val="20"/>
              </w:rPr>
              <w:t>It had been agreed with the Commission that this Regulation is not relevant for Georgia and this decision was stated in the minute of the EU-Georgia Sanitary and Phytosanitary Sub-Committee.</w:t>
            </w:r>
          </w:p>
        </w:tc>
        <w:tc>
          <w:tcPr>
            <w:tcW w:w="1095" w:type="dxa"/>
          </w:tcPr>
          <w:p w14:paraId="40C50EF4"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Not Applicable</w:t>
            </w:r>
          </w:p>
        </w:tc>
        <w:tc>
          <w:tcPr>
            <w:tcW w:w="1203" w:type="dxa"/>
          </w:tcPr>
          <w:p w14:paraId="62DB6CB2"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Not Applicable</w:t>
            </w:r>
          </w:p>
        </w:tc>
      </w:tr>
      <w:tr w:rsidR="00B9071F" w:rsidRPr="00E53977" w14:paraId="3E773F07"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0C2F0951"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9</w:t>
            </w:r>
          </w:p>
        </w:tc>
        <w:tc>
          <w:tcPr>
            <w:tcW w:w="0" w:type="auto"/>
            <w:shd w:val="clear" w:color="auto" w:fill="FFE599" w:themeFill="accent4" w:themeFillTint="66"/>
          </w:tcPr>
          <w:p w14:paraId="0385207A"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Veterinary</w:t>
            </w:r>
          </w:p>
        </w:tc>
        <w:tc>
          <w:tcPr>
            <w:tcW w:w="3008" w:type="dxa"/>
          </w:tcPr>
          <w:p w14:paraId="253B96B4"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Council Directive 2006/88/EC of 24 October 2006 on animal health requirements for aquaculture animals and products thereof, and on the prevention and control of certain diseases in aquatic animals</w:t>
            </w:r>
          </w:p>
        </w:tc>
        <w:tc>
          <w:tcPr>
            <w:tcW w:w="3124" w:type="dxa"/>
          </w:tcPr>
          <w:p w14:paraId="7A113B92"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Decree N594 of the Government of Georgia of December 28, 2017 “on approval control rule on animal health requirements for aquaculture animals and products thereof, and on the prevention and control of certain diseases in aquatic animals”</w:t>
            </w:r>
          </w:p>
        </w:tc>
        <w:tc>
          <w:tcPr>
            <w:tcW w:w="1095" w:type="dxa"/>
          </w:tcPr>
          <w:p w14:paraId="02275B7C"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December 28, 2017</w:t>
            </w:r>
          </w:p>
        </w:tc>
        <w:tc>
          <w:tcPr>
            <w:tcW w:w="1203" w:type="dxa"/>
          </w:tcPr>
          <w:p w14:paraId="3AED58DF"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January 1, 2023</w:t>
            </w:r>
          </w:p>
        </w:tc>
      </w:tr>
      <w:tr w:rsidR="00B9071F" w:rsidRPr="00E53977" w14:paraId="6EE2A3F6"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7FB9BC1E"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10</w:t>
            </w:r>
          </w:p>
        </w:tc>
        <w:tc>
          <w:tcPr>
            <w:tcW w:w="0" w:type="auto"/>
            <w:shd w:val="clear" w:color="auto" w:fill="FFE599" w:themeFill="accent4" w:themeFillTint="66"/>
          </w:tcPr>
          <w:p w14:paraId="1372BD2B"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Veterinary</w:t>
            </w:r>
          </w:p>
        </w:tc>
        <w:tc>
          <w:tcPr>
            <w:tcW w:w="3008" w:type="dxa"/>
          </w:tcPr>
          <w:p w14:paraId="33CFCE3F"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Regulation (EC) No 1069/2009 of the European Parliament and of the Council of 21 October 2009 laying down health rules as regards animal by-products and derived products not intended for human consumption and repealing Regulation (EC) No</w:t>
            </w:r>
          </w:p>
          <w:p w14:paraId="4628267F"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1774/2002</w:t>
            </w:r>
          </w:p>
        </w:tc>
        <w:tc>
          <w:tcPr>
            <w:tcW w:w="3124" w:type="dxa"/>
          </w:tcPr>
          <w:p w14:paraId="0D59A74A"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Decree N605 of the Government of Georgia of December 29, 2017 “Technical regulation- on health rules and approval of the rules of recognition of the business operator related to this activity as regards animal by-products (including animal waste) and derived products not intended for human consumption</w:t>
            </w:r>
          </w:p>
        </w:tc>
        <w:tc>
          <w:tcPr>
            <w:tcW w:w="1095" w:type="dxa"/>
          </w:tcPr>
          <w:p w14:paraId="43736A7E"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December 29, 2017</w:t>
            </w:r>
          </w:p>
        </w:tc>
        <w:tc>
          <w:tcPr>
            <w:tcW w:w="1203" w:type="dxa"/>
          </w:tcPr>
          <w:p w14:paraId="3DC94ED9"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January 1, 2020</w:t>
            </w:r>
          </w:p>
        </w:tc>
      </w:tr>
      <w:tr w:rsidR="00B9071F" w:rsidRPr="00E53977" w14:paraId="3008B4A5"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07B8F900"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11</w:t>
            </w:r>
          </w:p>
        </w:tc>
        <w:tc>
          <w:tcPr>
            <w:tcW w:w="0" w:type="auto"/>
            <w:shd w:val="clear" w:color="auto" w:fill="FFE599" w:themeFill="accent4" w:themeFillTint="66"/>
          </w:tcPr>
          <w:p w14:paraId="5E352660"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Veterinary</w:t>
            </w:r>
          </w:p>
        </w:tc>
        <w:tc>
          <w:tcPr>
            <w:tcW w:w="3008" w:type="dxa"/>
          </w:tcPr>
          <w:p w14:paraId="380E259D"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w:t>
            </w:r>
          </w:p>
        </w:tc>
        <w:tc>
          <w:tcPr>
            <w:tcW w:w="3124" w:type="dxa"/>
          </w:tcPr>
          <w:p w14:paraId="11C5D1BA"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Decree N605 of the Government of Georgia of December 29, 2017 “Technical regulation- on health rules and approval of the rules of recognition of the business operator related to this activity as regards animal by-products (including animal waste) and derived products not intended for human consumption</w:t>
            </w:r>
          </w:p>
        </w:tc>
        <w:tc>
          <w:tcPr>
            <w:tcW w:w="1095" w:type="dxa"/>
          </w:tcPr>
          <w:p w14:paraId="6D0B904E"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December 29, 2017</w:t>
            </w:r>
          </w:p>
        </w:tc>
        <w:tc>
          <w:tcPr>
            <w:tcW w:w="1203" w:type="dxa"/>
          </w:tcPr>
          <w:p w14:paraId="6FABE1F7"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January 1, 2020</w:t>
            </w:r>
          </w:p>
        </w:tc>
      </w:tr>
      <w:tr w:rsidR="00B9071F" w:rsidRPr="00E53977" w14:paraId="25080AFB"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5906F7C7" w14:textId="77777777" w:rsidR="00B9071F" w:rsidRPr="00E53977" w:rsidRDefault="00B9071F" w:rsidP="002771FB">
            <w:pPr>
              <w:widowControl w:val="0"/>
              <w:rPr>
                <w:rFonts w:cs="Times New Roman"/>
                <w:b w:val="0"/>
                <w:sz w:val="20"/>
                <w:szCs w:val="20"/>
              </w:rPr>
            </w:pPr>
            <w:r w:rsidRPr="00E53977">
              <w:rPr>
                <w:rFonts w:cs="Times New Roman"/>
                <w:b w:val="0"/>
                <w:sz w:val="20"/>
                <w:szCs w:val="20"/>
              </w:rPr>
              <w:lastRenderedPageBreak/>
              <w:t>12</w:t>
            </w:r>
          </w:p>
        </w:tc>
        <w:tc>
          <w:tcPr>
            <w:tcW w:w="0" w:type="auto"/>
            <w:shd w:val="clear" w:color="auto" w:fill="FFE599" w:themeFill="accent4" w:themeFillTint="66"/>
          </w:tcPr>
          <w:p w14:paraId="7B5C8553"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Veterinary</w:t>
            </w:r>
          </w:p>
        </w:tc>
        <w:tc>
          <w:tcPr>
            <w:tcW w:w="3008" w:type="dxa"/>
          </w:tcPr>
          <w:p w14:paraId="2773C0E8"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Commission Regulation (EC) No 1251/2008 of 12 December 2008 implementing Council Directive 2006/88/EC as regards conditions and certification requirements for the placing on the market and the import into the Community of aquaculture animals and products thereof and laying down a list of vector species</w:t>
            </w:r>
          </w:p>
        </w:tc>
        <w:tc>
          <w:tcPr>
            <w:tcW w:w="3124" w:type="dxa"/>
          </w:tcPr>
          <w:p w14:paraId="1EBC5295"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Decree N597 of the Government of Georgia of December 29, 2017 on conditions and certification requirements for the placing on the market and the import of aquaculture animals and products thereof and laying down a list of vector species</w:t>
            </w:r>
          </w:p>
        </w:tc>
        <w:tc>
          <w:tcPr>
            <w:tcW w:w="1095" w:type="dxa"/>
          </w:tcPr>
          <w:p w14:paraId="39B8F0DA"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December 29, 2017</w:t>
            </w:r>
          </w:p>
        </w:tc>
        <w:tc>
          <w:tcPr>
            <w:tcW w:w="1203" w:type="dxa"/>
          </w:tcPr>
          <w:p w14:paraId="06FCA30E"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January 1, 2023</w:t>
            </w:r>
          </w:p>
        </w:tc>
      </w:tr>
      <w:tr w:rsidR="00B9071F" w:rsidRPr="00E53977" w14:paraId="3F0E17CF"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409A102E"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13</w:t>
            </w:r>
          </w:p>
        </w:tc>
        <w:tc>
          <w:tcPr>
            <w:tcW w:w="0" w:type="auto"/>
            <w:shd w:val="clear" w:color="auto" w:fill="FFE599" w:themeFill="accent4" w:themeFillTint="66"/>
          </w:tcPr>
          <w:p w14:paraId="716B9C1C"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Veterinary</w:t>
            </w:r>
          </w:p>
        </w:tc>
        <w:tc>
          <w:tcPr>
            <w:tcW w:w="3008" w:type="dxa"/>
          </w:tcPr>
          <w:p w14:paraId="4850D17D"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Council Directive 92/118/EEC of 17 December 1992 laying down animal health and public health requirements governing trade in and imports into the Community of products not subject to the said requirements laid down in specific Community rules referred to in Annex A (I) to Directive 89/662/EEC and, as regards pathogens, to Directive 90/425/EEC</w:t>
            </w:r>
          </w:p>
        </w:tc>
        <w:tc>
          <w:tcPr>
            <w:tcW w:w="3124" w:type="dxa"/>
          </w:tcPr>
          <w:p w14:paraId="5F8170DD"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 xml:space="preserve">Decree N595 of the Government of Georgia of December 28, 2017 on animal health and public health requirements during trade and import of products subject to special requirements </w:t>
            </w:r>
          </w:p>
        </w:tc>
        <w:tc>
          <w:tcPr>
            <w:tcW w:w="1095" w:type="dxa"/>
          </w:tcPr>
          <w:p w14:paraId="03D3C0EE"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December 28, 2017</w:t>
            </w:r>
          </w:p>
        </w:tc>
        <w:tc>
          <w:tcPr>
            <w:tcW w:w="1203" w:type="dxa"/>
          </w:tcPr>
          <w:p w14:paraId="6D9D1A7D"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January 1, 2019</w:t>
            </w:r>
          </w:p>
        </w:tc>
      </w:tr>
      <w:tr w:rsidR="00B9071F" w:rsidRPr="00E53977" w14:paraId="06DBD921"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1AB43758"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14</w:t>
            </w:r>
          </w:p>
        </w:tc>
        <w:tc>
          <w:tcPr>
            <w:tcW w:w="0" w:type="auto"/>
            <w:shd w:val="clear" w:color="auto" w:fill="FFE599" w:themeFill="accent4" w:themeFillTint="66"/>
          </w:tcPr>
          <w:p w14:paraId="0EBBE7F7"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Veterinary</w:t>
            </w:r>
          </w:p>
        </w:tc>
        <w:tc>
          <w:tcPr>
            <w:tcW w:w="3008" w:type="dxa"/>
          </w:tcPr>
          <w:p w14:paraId="59BE9CA9"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Directive 2003/99/EC of the European Parliament and of the Council of 17 November 2003 on the monitoring of zoonoses and zoonotic agents, amending Council Decision 90/424/EEC and repealing Council Directive 92/117/EEC</w:t>
            </w:r>
          </w:p>
        </w:tc>
        <w:tc>
          <w:tcPr>
            <w:tcW w:w="3124" w:type="dxa"/>
          </w:tcPr>
          <w:p w14:paraId="008CE680"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Decree N323 of the Government of Georgia of July 5, 2017 on approval of the rule on the monitoring of zoonoses and zoonotic agents</w:t>
            </w:r>
          </w:p>
        </w:tc>
        <w:tc>
          <w:tcPr>
            <w:tcW w:w="1095" w:type="dxa"/>
          </w:tcPr>
          <w:p w14:paraId="38736D94"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July 5, 2017</w:t>
            </w:r>
          </w:p>
        </w:tc>
        <w:tc>
          <w:tcPr>
            <w:tcW w:w="1203" w:type="dxa"/>
          </w:tcPr>
          <w:p w14:paraId="3F3F9FA2"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January 1, 2020</w:t>
            </w:r>
          </w:p>
        </w:tc>
      </w:tr>
      <w:tr w:rsidR="00B9071F" w:rsidRPr="00E53977" w14:paraId="1F1E1BA4"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3B258135"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15</w:t>
            </w:r>
          </w:p>
        </w:tc>
        <w:tc>
          <w:tcPr>
            <w:tcW w:w="0" w:type="auto"/>
            <w:shd w:val="clear" w:color="auto" w:fill="FFE599" w:themeFill="accent4" w:themeFillTint="66"/>
          </w:tcPr>
          <w:p w14:paraId="28DAAD44"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Veterinary</w:t>
            </w:r>
          </w:p>
        </w:tc>
        <w:tc>
          <w:tcPr>
            <w:tcW w:w="3008" w:type="dxa"/>
          </w:tcPr>
          <w:p w14:paraId="6835C977"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Council Directive 64/432/EEC of 26 June 1964 on animal health problems affecting intra-Community trade in bovine animals and swine</w:t>
            </w:r>
          </w:p>
        </w:tc>
        <w:tc>
          <w:tcPr>
            <w:tcW w:w="3124" w:type="dxa"/>
          </w:tcPr>
          <w:p w14:paraId="727ECA2C"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Decree N584 of the Government of Georgia of December 28, 2017 “Technical Regulation - on approval on animal health affecting intra- country trade in bovine animals and swine”</w:t>
            </w:r>
          </w:p>
        </w:tc>
        <w:tc>
          <w:tcPr>
            <w:tcW w:w="1095" w:type="dxa"/>
          </w:tcPr>
          <w:p w14:paraId="051EE210"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December 28, 2017</w:t>
            </w:r>
          </w:p>
        </w:tc>
        <w:tc>
          <w:tcPr>
            <w:tcW w:w="1203" w:type="dxa"/>
          </w:tcPr>
          <w:p w14:paraId="0CD33ED5"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January 1, 2023</w:t>
            </w:r>
          </w:p>
        </w:tc>
      </w:tr>
      <w:tr w:rsidR="00B9071F" w:rsidRPr="00E53977" w14:paraId="24C0B2D5"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61172723"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16</w:t>
            </w:r>
          </w:p>
        </w:tc>
        <w:tc>
          <w:tcPr>
            <w:tcW w:w="0" w:type="auto"/>
            <w:shd w:val="clear" w:color="auto" w:fill="C5E0B3" w:themeFill="accent6" w:themeFillTint="66"/>
          </w:tcPr>
          <w:p w14:paraId="50454B45"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Phyto-Sanitary</w:t>
            </w:r>
          </w:p>
        </w:tc>
        <w:tc>
          <w:tcPr>
            <w:tcW w:w="3008" w:type="dxa"/>
          </w:tcPr>
          <w:p w14:paraId="0D6582F1"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 xml:space="preserve">Council Directive 98/57/EC of 20 July 1998 on the control of </w:t>
            </w:r>
            <w:r w:rsidRPr="00E53977">
              <w:rPr>
                <w:rFonts w:cs="Times New Roman"/>
                <w:i/>
                <w:sz w:val="20"/>
                <w:szCs w:val="20"/>
              </w:rPr>
              <w:t>Ralstonia solanacearum</w:t>
            </w:r>
            <w:r w:rsidRPr="00E53977">
              <w:rPr>
                <w:rFonts w:cs="Times New Roman"/>
                <w:sz w:val="20"/>
                <w:szCs w:val="20"/>
              </w:rPr>
              <w:t xml:space="preserve"> (Smith) Yabuuchi et al.</w:t>
            </w:r>
          </w:p>
        </w:tc>
        <w:tc>
          <w:tcPr>
            <w:tcW w:w="3124" w:type="dxa"/>
          </w:tcPr>
          <w:p w14:paraId="0A5D081C"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 xml:space="preserve">Decree N602 of Government of Georgia of December 29, 2017 “Technical Regulation - on approval the control procedures of </w:t>
            </w:r>
            <w:r w:rsidRPr="00E53977">
              <w:rPr>
                <w:rFonts w:cs="Times New Roman"/>
                <w:i/>
                <w:sz w:val="20"/>
                <w:szCs w:val="20"/>
              </w:rPr>
              <w:t>Ralstonia solanacearum</w:t>
            </w:r>
            <w:r w:rsidRPr="00E53977">
              <w:rPr>
                <w:rFonts w:cs="Times New Roman"/>
                <w:sz w:val="20"/>
                <w:szCs w:val="20"/>
              </w:rPr>
              <w:t xml:space="preserve"> (Smith) Yabuuchi et al.</w:t>
            </w:r>
          </w:p>
        </w:tc>
        <w:tc>
          <w:tcPr>
            <w:tcW w:w="1095" w:type="dxa"/>
          </w:tcPr>
          <w:p w14:paraId="2E0CC243"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December 29, 2017</w:t>
            </w:r>
          </w:p>
        </w:tc>
        <w:tc>
          <w:tcPr>
            <w:tcW w:w="1203" w:type="dxa"/>
          </w:tcPr>
          <w:p w14:paraId="3A853EA2"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September 1, 2018</w:t>
            </w:r>
          </w:p>
        </w:tc>
      </w:tr>
      <w:tr w:rsidR="00B9071F" w:rsidRPr="00E53977" w14:paraId="0299E68C"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0F995106"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17</w:t>
            </w:r>
          </w:p>
        </w:tc>
        <w:tc>
          <w:tcPr>
            <w:tcW w:w="0" w:type="auto"/>
            <w:shd w:val="clear" w:color="auto" w:fill="C5E0B3" w:themeFill="accent6" w:themeFillTint="66"/>
          </w:tcPr>
          <w:p w14:paraId="07C61D23"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Phyto-Sanitary</w:t>
            </w:r>
          </w:p>
        </w:tc>
        <w:tc>
          <w:tcPr>
            <w:tcW w:w="3008" w:type="dxa"/>
          </w:tcPr>
          <w:p w14:paraId="565885E7"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Commission Directive 2004/103/EC of 7 October 2004 on identity and plant health checks of plants, plant products or other objects, listed in Part B of Annex V to Council Directive 2000/29/EC, which may be carried out at a place other than the point of entry into the Community or at a place close by and specifying the conditions related to these checks</w:t>
            </w:r>
          </w:p>
        </w:tc>
        <w:tc>
          <w:tcPr>
            <w:tcW w:w="3124" w:type="dxa"/>
          </w:tcPr>
          <w:p w14:paraId="1D15E5FB"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Decree N556 of the Government of Georgia of December 15, 2017 “Technical Regulation - on identity, plant health checks and establishing conditions of plants, plant products or other phytosanitary regulated objects, which may be carried out at a place other than the border inspection point”</w:t>
            </w:r>
          </w:p>
        </w:tc>
        <w:tc>
          <w:tcPr>
            <w:tcW w:w="1095" w:type="dxa"/>
          </w:tcPr>
          <w:p w14:paraId="6C2499B5"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December 15, 2017</w:t>
            </w:r>
          </w:p>
        </w:tc>
        <w:tc>
          <w:tcPr>
            <w:tcW w:w="1203" w:type="dxa"/>
          </w:tcPr>
          <w:p w14:paraId="5329B88D"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March 1, 2020</w:t>
            </w:r>
          </w:p>
        </w:tc>
      </w:tr>
      <w:tr w:rsidR="00B9071F" w:rsidRPr="00E53977" w14:paraId="4F7E5402" w14:textId="77777777" w:rsidTr="00FF581B">
        <w:tc>
          <w:tcPr>
            <w:cnfStyle w:val="001000000000" w:firstRow="0" w:lastRow="0" w:firstColumn="1" w:lastColumn="0" w:oddVBand="0" w:evenVBand="0" w:oddHBand="0" w:evenHBand="0" w:firstRowFirstColumn="0" w:firstRowLastColumn="0" w:lastRowFirstColumn="0" w:lastRowLastColumn="0"/>
            <w:tcW w:w="0" w:type="auto"/>
          </w:tcPr>
          <w:p w14:paraId="652E3CDC" w14:textId="77777777" w:rsidR="00B9071F" w:rsidRPr="00E53977" w:rsidRDefault="00B9071F" w:rsidP="002771FB">
            <w:pPr>
              <w:widowControl w:val="0"/>
              <w:rPr>
                <w:rFonts w:cs="Times New Roman"/>
                <w:b w:val="0"/>
                <w:sz w:val="20"/>
                <w:szCs w:val="20"/>
              </w:rPr>
            </w:pPr>
            <w:r w:rsidRPr="00E53977">
              <w:rPr>
                <w:rFonts w:cs="Times New Roman"/>
                <w:b w:val="0"/>
                <w:sz w:val="20"/>
                <w:szCs w:val="20"/>
              </w:rPr>
              <w:t>18</w:t>
            </w:r>
          </w:p>
        </w:tc>
        <w:tc>
          <w:tcPr>
            <w:tcW w:w="0" w:type="auto"/>
            <w:shd w:val="clear" w:color="auto" w:fill="C5E0B3" w:themeFill="accent6" w:themeFillTint="66"/>
          </w:tcPr>
          <w:p w14:paraId="39E1A003"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t>Phyto-</w:t>
            </w:r>
            <w:r w:rsidRPr="00E53977">
              <w:rPr>
                <w:rFonts w:cs="Times New Roman"/>
                <w:sz w:val="20"/>
                <w:szCs w:val="20"/>
              </w:rPr>
              <w:lastRenderedPageBreak/>
              <w:t>Sanitary</w:t>
            </w:r>
          </w:p>
        </w:tc>
        <w:tc>
          <w:tcPr>
            <w:tcW w:w="3008" w:type="dxa"/>
          </w:tcPr>
          <w:p w14:paraId="1FC466A3"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lastRenderedPageBreak/>
              <w:t xml:space="preserve">Council Directive 93/85/EC of 4 </w:t>
            </w:r>
            <w:r w:rsidRPr="00E53977">
              <w:rPr>
                <w:rFonts w:cs="Times New Roman"/>
                <w:sz w:val="20"/>
                <w:szCs w:val="20"/>
              </w:rPr>
              <w:lastRenderedPageBreak/>
              <w:t>October 1993 on control of Potato Ring Rot</w:t>
            </w:r>
          </w:p>
        </w:tc>
        <w:tc>
          <w:tcPr>
            <w:tcW w:w="3124" w:type="dxa"/>
          </w:tcPr>
          <w:p w14:paraId="4CA242FF" w14:textId="77777777" w:rsidR="00B9071F" w:rsidRPr="00E53977" w:rsidRDefault="00B9071F" w:rsidP="002771FB">
            <w:pPr>
              <w:widowControl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lastRenderedPageBreak/>
              <w:t xml:space="preserve">Decree N553 of Government of </w:t>
            </w:r>
            <w:r w:rsidRPr="00E53977">
              <w:rPr>
                <w:rFonts w:cs="Times New Roman"/>
                <w:sz w:val="20"/>
                <w:szCs w:val="20"/>
              </w:rPr>
              <w:lastRenderedPageBreak/>
              <w:t xml:space="preserve">Georgia of December 15, 2017 “Technical Regulation - on approval of control procedures of Potato Ring Rot” </w:t>
            </w:r>
          </w:p>
        </w:tc>
        <w:tc>
          <w:tcPr>
            <w:tcW w:w="1095" w:type="dxa"/>
          </w:tcPr>
          <w:p w14:paraId="07F10AEE" w14:textId="77777777" w:rsidR="00B9071F" w:rsidRPr="00E53977" w:rsidRDefault="00B9071F" w:rsidP="002771FB">
            <w:pPr>
              <w:widowControl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lastRenderedPageBreak/>
              <w:t xml:space="preserve">December </w:t>
            </w:r>
            <w:r w:rsidRPr="00E53977">
              <w:rPr>
                <w:rFonts w:cs="Times New Roman"/>
                <w:sz w:val="20"/>
                <w:szCs w:val="20"/>
              </w:rPr>
              <w:lastRenderedPageBreak/>
              <w:t>15, 2017</w:t>
            </w:r>
          </w:p>
        </w:tc>
        <w:tc>
          <w:tcPr>
            <w:tcW w:w="1203" w:type="dxa"/>
          </w:tcPr>
          <w:p w14:paraId="453CFB37" w14:textId="77777777" w:rsidR="00B9071F" w:rsidRPr="00E53977" w:rsidRDefault="00B9071F" w:rsidP="002771FB">
            <w:pPr>
              <w:widowControl w:val="0"/>
              <w:ind w:right="-106"/>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53977">
              <w:rPr>
                <w:rFonts w:cs="Times New Roman"/>
                <w:sz w:val="20"/>
                <w:szCs w:val="20"/>
              </w:rPr>
              <w:lastRenderedPageBreak/>
              <w:t xml:space="preserve">September 1, </w:t>
            </w:r>
            <w:r w:rsidRPr="00E53977">
              <w:rPr>
                <w:rFonts w:cs="Times New Roman"/>
                <w:sz w:val="20"/>
                <w:szCs w:val="20"/>
              </w:rPr>
              <w:lastRenderedPageBreak/>
              <w:t>2018</w:t>
            </w:r>
          </w:p>
        </w:tc>
      </w:tr>
    </w:tbl>
    <w:p w14:paraId="3C69A133" w14:textId="77777777" w:rsidR="00B9071F" w:rsidRPr="00E53977" w:rsidRDefault="00B9071F" w:rsidP="002771FB">
      <w:pPr>
        <w:widowControl w:val="0"/>
        <w:jc w:val="left"/>
        <w:rPr>
          <w:rFonts w:eastAsiaTheme="majorEastAsia" w:cs="Times New Roman"/>
          <w:b/>
          <w:caps/>
          <w:color w:val="A50021"/>
          <w:sz w:val="28"/>
          <w:szCs w:val="32"/>
        </w:rPr>
      </w:pPr>
      <w:r w:rsidRPr="00E53977">
        <w:rPr>
          <w:rFonts w:cs="Times New Roman"/>
        </w:rPr>
        <w:lastRenderedPageBreak/>
        <w:br w:type="page"/>
      </w:r>
    </w:p>
    <w:p w14:paraId="3B59FE84" w14:textId="017164A5" w:rsidR="00B9071F" w:rsidRPr="00E53977" w:rsidRDefault="00445C04" w:rsidP="002771FB">
      <w:pPr>
        <w:pStyle w:val="Heading1"/>
        <w:widowControl w:val="0"/>
      </w:pPr>
      <w:bookmarkStart w:id="94" w:name="_Toc508180551"/>
      <w:bookmarkStart w:id="95" w:name="_Toc520906387"/>
      <w:r w:rsidRPr="00E53977">
        <w:rPr>
          <w:caps w:val="0"/>
        </w:rPr>
        <w:lastRenderedPageBreak/>
        <w:t xml:space="preserve">ANNEX 2: </w:t>
      </w:r>
      <w:bookmarkEnd w:id="94"/>
      <w:r w:rsidRPr="00E53977">
        <w:rPr>
          <w:caps w:val="0"/>
        </w:rPr>
        <w:t>NFA’S CAPACITY BUILDING ACTIVITIES IN 2017</w:t>
      </w:r>
      <w:bookmarkEnd w:id="95"/>
    </w:p>
    <w:tbl>
      <w:tblPr>
        <w:tblStyle w:val="GridTable1Light1"/>
        <w:tblW w:w="9715" w:type="dxa"/>
        <w:tblLayout w:type="fixed"/>
        <w:tblLook w:val="0620" w:firstRow="1" w:lastRow="0" w:firstColumn="0" w:lastColumn="0" w:noHBand="1" w:noVBand="1"/>
      </w:tblPr>
      <w:tblGrid>
        <w:gridCol w:w="1165"/>
        <w:gridCol w:w="1170"/>
        <w:gridCol w:w="1350"/>
        <w:gridCol w:w="3240"/>
        <w:gridCol w:w="1248"/>
        <w:gridCol w:w="1542"/>
      </w:tblGrid>
      <w:tr w:rsidR="00B9071F" w:rsidRPr="00E53977" w14:paraId="78BC96C6" w14:textId="77777777" w:rsidTr="00FF581B">
        <w:trPr>
          <w:cnfStyle w:val="100000000000" w:firstRow="1" w:lastRow="0" w:firstColumn="0" w:lastColumn="0" w:oddVBand="0" w:evenVBand="0" w:oddHBand="0" w:evenHBand="0" w:firstRowFirstColumn="0" w:firstRowLastColumn="0" w:lastRowFirstColumn="0" w:lastRowLastColumn="0"/>
          <w:trHeight w:val="20"/>
          <w:tblHeader/>
        </w:trPr>
        <w:tc>
          <w:tcPr>
            <w:tcW w:w="1165" w:type="dxa"/>
            <w:shd w:val="clear" w:color="auto" w:fill="0070C0"/>
            <w:hideMark/>
          </w:tcPr>
          <w:p w14:paraId="0685D164" w14:textId="77777777" w:rsidR="00B9071F" w:rsidRPr="00E53977" w:rsidRDefault="00B9071F" w:rsidP="002771FB">
            <w:pPr>
              <w:widowControl w:val="0"/>
              <w:spacing w:after="0"/>
              <w:jc w:val="left"/>
              <w:rPr>
                <w:rFonts w:eastAsia="Times New Roman" w:cs="Times New Roman"/>
                <w:bCs w:val="0"/>
                <w:color w:val="FFFFFF"/>
                <w:sz w:val="18"/>
                <w:szCs w:val="18"/>
              </w:rPr>
            </w:pPr>
            <w:r w:rsidRPr="00E53977">
              <w:rPr>
                <w:rFonts w:eastAsia="Times New Roman" w:cs="Times New Roman"/>
                <w:bCs w:val="0"/>
                <w:color w:val="FFFFFF"/>
                <w:sz w:val="18"/>
                <w:szCs w:val="18"/>
              </w:rPr>
              <w:t>Date</w:t>
            </w:r>
          </w:p>
        </w:tc>
        <w:tc>
          <w:tcPr>
            <w:tcW w:w="1170" w:type="dxa"/>
            <w:shd w:val="clear" w:color="auto" w:fill="0070C0"/>
            <w:hideMark/>
          </w:tcPr>
          <w:p w14:paraId="56BEAF16" w14:textId="77777777" w:rsidR="00B9071F" w:rsidRPr="00E53977" w:rsidRDefault="00B9071F" w:rsidP="002771FB">
            <w:pPr>
              <w:widowControl w:val="0"/>
              <w:spacing w:after="0"/>
              <w:jc w:val="center"/>
              <w:rPr>
                <w:rFonts w:eastAsia="Times New Roman" w:cs="Times New Roman"/>
                <w:bCs w:val="0"/>
                <w:color w:val="FFFFFF"/>
                <w:sz w:val="18"/>
                <w:szCs w:val="18"/>
              </w:rPr>
            </w:pPr>
            <w:r w:rsidRPr="00E53977">
              <w:rPr>
                <w:rFonts w:eastAsia="Times New Roman" w:cs="Times New Roman"/>
                <w:bCs w:val="0"/>
                <w:color w:val="FFFFFF"/>
                <w:sz w:val="18"/>
                <w:szCs w:val="18"/>
              </w:rPr>
              <w:t>Type</w:t>
            </w:r>
          </w:p>
        </w:tc>
        <w:tc>
          <w:tcPr>
            <w:tcW w:w="1350" w:type="dxa"/>
            <w:shd w:val="clear" w:color="auto" w:fill="0070C0"/>
            <w:hideMark/>
          </w:tcPr>
          <w:p w14:paraId="6C4FBCF3" w14:textId="77777777" w:rsidR="00B9071F" w:rsidRPr="00E53977" w:rsidRDefault="00B9071F" w:rsidP="002771FB">
            <w:pPr>
              <w:widowControl w:val="0"/>
              <w:spacing w:after="0"/>
              <w:jc w:val="center"/>
              <w:rPr>
                <w:rFonts w:eastAsia="Times New Roman" w:cs="Times New Roman"/>
                <w:bCs w:val="0"/>
                <w:color w:val="FFFFFF"/>
                <w:sz w:val="18"/>
                <w:szCs w:val="18"/>
              </w:rPr>
            </w:pPr>
            <w:r w:rsidRPr="00E53977">
              <w:rPr>
                <w:rFonts w:eastAsia="Times New Roman" w:cs="Times New Roman"/>
                <w:bCs w:val="0"/>
                <w:color w:val="FFFFFF"/>
                <w:sz w:val="18"/>
                <w:szCs w:val="18"/>
              </w:rPr>
              <w:t>Activity Name</w:t>
            </w:r>
          </w:p>
        </w:tc>
        <w:tc>
          <w:tcPr>
            <w:tcW w:w="3240" w:type="dxa"/>
            <w:shd w:val="clear" w:color="auto" w:fill="0070C0"/>
            <w:hideMark/>
          </w:tcPr>
          <w:p w14:paraId="4A10ADF0" w14:textId="77777777" w:rsidR="00B9071F" w:rsidRPr="00E53977" w:rsidRDefault="00B9071F" w:rsidP="002771FB">
            <w:pPr>
              <w:widowControl w:val="0"/>
              <w:spacing w:after="0"/>
              <w:jc w:val="center"/>
              <w:rPr>
                <w:rFonts w:eastAsia="Times New Roman" w:cs="Times New Roman"/>
                <w:bCs w:val="0"/>
                <w:color w:val="FFFFFF"/>
                <w:sz w:val="18"/>
                <w:szCs w:val="18"/>
              </w:rPr>
            </w:pPr>
            <w:r w:rsidRPr="00E53977">
              <w:rPr>
                <w:rFonts w:eastAsia="Times New Roman" w:cs="Times New Roman"/>
                <w:bCs w:val="0"/>
                <w:color w:val="FFFFFF"/>
                <w:sz w:val="18"/>
                <w:szCs w:val="18"/>
              </w:rPr>
              <w:t xml:space="preserve">Topics </w:t>
            </w:r>
          </w:p>
        </w:tc>
        <w:tc>
          <w:tcPr>
            <w:tcW w:w="1248" w:type="dxa"/>
            <w:shd w:val="clear" w:color="auto" w:fill="0070C0"/>
            <w:hideMark/>
          </w:tcPr>
          <w:p w14:paraId="7CEDAD2C" w14:textId="77777777" w:rsidR="00B9071F" w:rsidRPr="00E53977" w:rsidRDefault="00B9071F" w:rsidP="002771FB">
            <w:pPr>
              <w:widowControl w:val="0"/>
              <w:spacing w:after="0"/>
              <w:jc w:val="center"/>
              <w:rPr>
                <w:rFonts w:eastAsia="Times New Roman" w:cs="Times New Roman"/>
                <w:bCs w:val="0"/>
                <w:color w:val="FFFFFF"/>
                <w:sz w:val="18"/>
                <w:szCs w:val="18"/>
              </w:rPr>
            </w:pPr>
            <w:r w:rsidRPr="00E53977">
              <w:rPr>
                <w:rFonts w:eastAsia="Times New Roman" w:cs="Times New Roman"/>
                <w:bCs w:val="0"/>
                <w:color w:val="FFFFFF"/>
                <w:sz w:val="18"/>
                <w:szCs w:val="18"/>
              </w:rPr>
              <w:t>Location(s)</w:t>
            </w:r>
          </w:p>
        </w:tc>
        <w:tc>
          <w:tcPr>
            <w:tcW w:w="1542" w:type="dxa"/>
            <w:shd w:val="clear" w:color="auto" w:fill="0070C0"/>
            <w:hideMark/>
          </w:tcPr>
          <w:p w14:paraId="45195AC8" w14:textId="1337A8AF" w:rsidR="00B9071F" w:rsidRPr="00E53977" w:rsidRDefault="00B9071F" w:rsidP="002771FB">
            <w:pPr>
              <w:widowControl w:val="0"/>
              <w:spacing w:after="0"/>
              <w:jc w:val="center"/>
              <w:rPr>
                <w:rFonts w:eastAsia="Times New Roman" w:cs="Times New Roman"/>
                <w:bCs w:val="0"/>
                <w:color w:val="FFFFFF"/>
                <w:sz w:val="18"/>
                <w:szCs w:val="18"/>
              </w:rPr>
            </w:pPr>
            <w:r w:rsidRPr="00E53977">
              <w:rPr>
                <w:rFonts w:eastAsia="Times New Roman" w:cs="Times New Roman"/>
                <w:bCs w:val="0"/>
                <w:color w:val="FFFFFF"/>
                <w:sz w:val="18"/>
                <w:szCs w:val="18"/>
              </w:rPr>
              <w:t>Participants</w:t>
            </w:r>
          </w:p>
        </w:tc>
      </w:tr>
      <w:tr w:rsidR="00B9071F" w:rsidRPr="00E53977" w14:paraId="272B4B1E" w14:textId="77777777" w:rsidTr="00FF581B">
        <w:trPr>
          <w:trHeight w:val="20"/>
        </w:trPr>
        <w:tc>
          <w:tcPr>
            <w:tcW w:w="1165" w:type="dxa"/>
            <w:noWrap/>
          </w:tcPr>
          <w:p w14:paraId="75F12E40" w14:textId="77777777" w:rsidR="00B9071F" w:rsidRPr="00E53977" w:rsidRDefault="00B9071F" w:rsidP="002771FB">
            <w:pPr>
              <w:widowControl w:val="0"/>
              <w:spacing w:after="0"/>
              <w:jc w:val="left"/>
              <w:rPr>
                <w:rFonts w:eastAsia="Times New Roman" w:cs="Times New Roman"/>
                <w:color w:val="000000"/>
                <w:sz w:val="18"/>
                <w:szCs w:val="18"/>
                <w:highlight w:val="yellow"/>
              </w:rPr>
            </w:pPr>
            <w:r w:rsidRPr="00E53977">
              <w:rPr>
                <w:rFonts w:cs="Times New Roman"/>
                <w:sz w:val="18"/>
                <w:szCs w:val="18"/>
              </w:rPr>
              <w:t>February 2017</w:t>
            </w:r>
          </w:p>
        </w:tc>
        <w:tc>
          <w:tcPr>
            <w:tcW w:w="1170" w:type="dxa"/>
            <w:noWrap/>
          </w:tcPr>
          <w:p w14:paraId="40884510" w14:textId="77777777" w:rsidR="00B9071F" w:rsidRPr="00E53977" w:rsidRDefault="00B9071F" w:rsidP="002771FB">
            <w:pPr>
              <w:widowControl w:val="0"/>
              <w:spacing w:after="0"/>
              <w:jc w:val="left"/>
              <w:rPr>
                <w:rFonts w:eastAsia="Times New Roman" w:cs="Times New Roman"/>
                <w:color w:val="000000"/>
                <w:sz w:val="18"/>
                <w:szCs w:val="18"/>
                <w:highlight w:val="yellow"/>
              </w:rPr>
            </w:pPr>
            <w:r w:rsidRPr="00E53977">
              <w:rPr>
                <w:rFonts w:cs="Times New Roman"/>
                <w:color w:val="000000"/>
                <w:sz w:val="18"/>
                <w:szCs w:val="18"/>
              </w:rPr>
              <w:t>Training</w:t>
            </w:r>
          </w:p>
        </w:tc>
        <w:tc>
          <w:tcPr>
            <w:tcW w:w="1350" w:type="dxa"/>
          </w:tcPr>
          <w:p w14:paraId="46CE3B5F" w14:textId="77777777" w:rsidR="00B9071F" w:rsidRPr="00E53977" w:rsidRDefault="00B9071F" w:rsidP="002771FB">
            <w:pPr>
              <w:widowControl w:val="0"/>
              <w:spacing w:after="0"/>
              <w:jc w:val="left"/>
              <w:rPr>
                <w:rFonts w:eastAsia="Times New Roman" w:cs="Times New Roman"/>
                <w:color w:val="000000"/>
                <w:sz w:val="18"/>
                <w:szCs w:val="18"/>
                <w:highlight w:val="yellow"/>
              </w:rPr>
            </w:pPr>
            <w:r w:rsidRPr="00E53977">
              <w:rPr>
                <w:rFonts w:cs="Times New Roman"/>
                <w:color w:val="000000"/>
                <w:sz w:val="18"/>
                <w:szCs w:val="18"/>
              </w:rPr>
              <w:t xml:space="preserve">11 training events for total 120 regional inspectors on newly adopted legislation </w:t>
            </w:r>
          </w:p>
        </w:tc>
        <w:tc>
          <w:tcPr>
            <w:tcW w:w="3240" w:type="dxa"/>
          </w:tcPr>
          <w:p w14:paraId="70C88D11" w14:textId="77777777" w:rsidR="00B9071F" w:rsidRPr="00E53977" w:rsidRDefault="00B9071F" w:rsidP="002771FB">
            <w:pPr>
              <w:widowControl w:val="0"/>
              <w:spacing w:after="0"/>
              <w:jc w:val="left"/>
              <w:rPr>
                <w:rFonts w:eastAsia="Times New Roman" w:cs="Times New Roman"/>
                <w:color w:val="000000"/>
                <w:sz w:val="18"/>
                <w:szCs w:val="18"/>
                <w:highlight w:val="yellow"/>
              </w:rPr>
            </w:pPr>
            <w:r w:rsidRPr="00E53977">
              <w:rPr>
                <w:rFonts w:cs="Times New Roman"/>
                <w:color w:val="000000"/>
                <w:sz w:val="18"/>
                <w:szCs w:val="18"/>
              </w:rPr>
              <w:t xml:space="preserve">1. Governmental Decree #118 from March 9, 2016 on Technical regulation for Beef and Beef Products Labelling Procedure </w:t>
            </w:r>
            <w:r w:rsidRPr="00E53977">
              <w:rPr>
                <w:rFonts w:cs="Times New Roman"/>
                <w:color w:val="000000"/>
                <w:sz w:val="18"/>
                <w:szCs w:val="18"/>
              </w:rPr>
              <w:br/>
              <w:t xml:space="preserve">2. Governmental Decree #441 on Labelling </w:t>
            </w:r>
            <w:r w:rsidRPr="00E53977">
              <w:rPr>
                <w:rFonts w:cs="Times New Roman"/>
                <w:color w:val="000000"/>
                <w:sz w:val="18"/>
                <w:szCs w:val="18"/>
              </w:rPr>
              <w:br/>
              <w:t>3. Governmental Decree #152 on Milk and Dairy Products Technical Regulation</w:t>
            </w:r>
          </w:p>
        </w:tc>
        <w:tc>
          <w:tcPr>
            <w:tcW w:w="1248" w:type="dxa"/>
            <w:noWrap/>
          </w:tcPr>
          <w:p w14:paraId="58D8B20C" w14:textId="77777777" w:rsidR="00B9071F" w:rsidRPr="00E53977" w:rsidRDefault="00B9071F" w:rsidP="002771FB">
            <w:pPr>
              <w:widowControl w:val="0"/>
              <w:spacing w:after="0"/>
              <w:jc w:val="left"/>
              <w:rPr>
                <w:rFonts w:eastAsia="Times New Roman" w:cs="Times New Roman"/>
                <w:color w:val="000000"/>
                <w:sz w:val="18"/>
                <w:szCs w:val="18"/>
                <w:highlight w:val="yellow"/>
              </w:rPr>
            </w:pPr>
            <w:r w:rsidRPr="00E53977">
              <w:rPr>
                <w:rFonts w:cs="Times New Roman"/>
                <w:color w:val="000000"/>
                <w:sz w:val="18"/>
                <w:szCs w:val="18"/>
              </w:rPr>
              <w:t>Tbilisi</w:t>
            </w:r>
            <w:r w:rsidRPr="00E53977">
              <w:rPr>
                <w:rFonts w:cs="Times New Roman"/>
                <w:color w:val="000000"/>
                <w:sz w:val="18"/>
                <w:szCs w:val="18"/>
              </w:rPr>
              <w:br/>
              <w:t>Regions</w:t>
            </w:r>
          </w:p>
        </w:tc>
        <w:tc>
          <w:tcPr>
            <w:tcW w:w="1542" w:type="dxa"/>
            <w:noWrap/>
          </w:tcPr>
          <w:p w14:paraId="0C334D5B"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NFA Regional Food Inspectors</w:t>
            </w:r>
          </w:p>
        </w:tc>
      </w:tr>
      <w:tr w:rsidR="00B9071F" w:rsidRPr="00E53977" w14:paraId="56EC202E" w14:textId="77777777" w:rsidTr="00FF581B">
        <w:trPr>
          <w:trHeight w:val="20"/>
        </w:trPr>
        <w:tc>
          <w:tcPr>
            <w:tcW w:w="1165" w:type="dxa"/>
            <w:noWrap/>
          </w:tcPr>
          <w:p w14:paraId="42ED7412"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sz w:val="18"/>
                <w:szCs w:val="18"/>
              </w:rPr>
              <w:t>February 2017</w:t>
            </w:r>
          </w:p>
        </w:tc>
        <w:tc>
          <w:tcPr>
            <w:tcW w:w="1170" w:type="dxa"/>
            <w:noWrap/>
          </w:tcPr>
          <w:p w14:paraId="2A8ABCE5"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277D5551"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Training for total 243 FBOs on newly adopted legislation </w:t>
            </w:r>
          </w:p>
        </w:tc>
        <w:tc>
          <w:tcPr>
            <w:tcW w:w="3240" w:type="dxa"/>
          </w:tcPr>
          <w:p w14:paraId="0E3EB9C7"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1. Governmental Decree #118 from March 9, 2016 on Technical regulation for Beef and Beef Products Labelling Procedure </w:t>
            </w:r>
            <w:r w:rsidRPr="00E53977">
              <w:rPr>
                <w:rFonts w:cs="Times New Roman"/>
                <w:color w:val="000000"/>
                <w:sz w:val="18"/>
                <w:szCs w:val="18"/>
              </w:rPr>
              <w:br/>
              <w:t xml:space="preserve">2. Governmental Decree #441 on Labelling </w:t>
            </w:r>
            <w:r w:rsidRPr="00E53977">
              <w:rPr>
                <w:rFonts w:cs="Times New Roman"/>
                <w:color w:val="000000"/>
                <w:sz w:val="18"/>
                <w:szCs w:val="18"/>
              </w:rPr>
              <w:br/>
              <w:t>3. Governmental Decree #152 on Milk and Dairy Products Technical Regulation</w:t>
            </w:r>
          </w:p>
        </w:tc>
        <w:tc>
          <w:tcPr>
            <w:tcW w:w="1248" w:type="dxa"/>
            <w:noWrap/>
          </w:tcPr>
          <w:p w14:paraId="1769C75C"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r w:rsidRPr="00E53977">
              <w:rPr>
                <w:rFonts w:cs="Times New Roman"/>
                <w:color w:val="000000"/>
                <w:sz w:val="18"/>
                <w:szCs w:val="18"/>
              </w:rPr>
              <w:br/>
              <w:t>Regions</w:t>
            </w:r>
          </w:p>
        </w:tc>
        <w:tc>
          <w:tcPr>
            <w:tcW w:w="1542" w:type="dxa"/>
            <w:noWrap/>
          </w:tcPr>
          <w:p w14:paraId="5011D383"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FBOs (e.g., slaughterhouses, agricultural markets, meat shops, bread producers and groceries)</w:t>
            </w:r>
          </w:p>
        </w:tc>
      </w:tr>
      <w:tr w:rsidR="00B9071F" w:rsidRPr="00E53977" w14:paraId="6318AEBC" w14:textId="77777777" w:rsidTr="00FF581B">
        <w:trPr>
          <w:trHeight w:val="20"/>
        </w:trPr>
        <w:tc>
          <w:tcPr>
            <w:tcW w:w="1165" w:type="dxa"/>
            <w:noWrap/>
          </w:tcPr>
          <w:p w14:paraId="3B9B6B83"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April 19-21, 2017</w:t>
            </w:r>
            <w:r w:rsidRPr="00E53977">
              <w:rPr>
                <w:rFonts w:cs="Times New Roman"/>
                <w:color w:val="000000"/>
                <w:sz w:val="18"/>
                <w:szCs w:val="18"/>
              </w:rPr>
              <w:br/>
              <w:t>July 10-12, 2017</w:t>
            </w:r>
            <w:r w:rsidRPr="00E53977">
              <w:rPr>
                <w:rFonts w:cs="Times New Roman"/>
                <w:color w:val="000000"/>
                <w:sz w:val="18"/>
                <w:szCs w:val="18"/>
              </w:rPr>
              <w:br/>
              <w:t>July 13-15, 2017</w:t>
            </w:r>
          </w:p>
        </w:tc>
        <w:tc>
          <w:tcPr>
            <w:tcW w:w="1170" w:type="dxa"/>
            <w:noWrap/>
          </w:tcPr>
          <w:p w14:paraId="54786285"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296871AB"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3-day trainings for 57 Food Inspectors on the international certification scheme FSSC 22000 (includes ISO 22000:2005 and ISO/TS 22002-1:2009)</w:t>
            </w:r>
          </w:p>
        </w:tc>
        <w:tc>
          <w:tcPr>
            <w:tcW w:w="3240" w:type="dxa"/>
          </w:tcPr>
          <w:p w14:paraId="26DD6F6F"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u w:val="single"/>
              </w:rPr>
              <w:t>Detailed requirements for:</w:t>
            </w:r>
            <w:r w:rsidRPr="00E53977">
              <w:rPr>
                <w:rFonts w:cs="Times New Roman"/>
                <w:color w:val="000000"/>
                <w:sz w:val="18"/>
                <w:szCs w:val="18"/>
              </w:rPr>
              <w:br/>
              <w:t xml:space="preserve">1. construction and layout of buildings and associated utilities, </w:t>
            </w:r>
            <w:r w:rsidRPr="00E53977">
              <w:rPr>
                <w:rFonts w:cs="Times New Roman"/>
                <w:color w:val="000000"/>
                <w:sz w:val="18"/>
                <w:szCs w:val="18"/>
              </w:rPr>
              <w:br/>
              <w:t xml:space="preserve">2. layout of premises, </w:t>
            </w:r>
            <w:r w:rsidRPr="00E53977">
              <w:rPr>
                <w:rFonts w:cs="Times New Roman"/>
                <w:color w:val="000000"/>
                <w:sz w:val="18"/>
                <w:szCs w:val="18"/>
              </w:rPr>
              <w:br/>
              <w:t xml:space="preserve">3. supplies of air, water, energy, and other utilities, </w:t>
            </w:r>
            <w:r w:rsidRPr="00E53977">
              <w:rPr>
                <w:rFonts w:cs="Times New Roman"/>
                <w:color w:val="000000"/>
                <w:sz w:val="18"/>
                <w:szCs w:val="18"/>
              </w:rPr>
              <w:br/>
              <w:t xml:space="preserve">4. supporting services, including waste and sewage disposal, </w:t>
            </w:r>
            <w:r w:rsidRPr="00E53977">
              <w:rPr>
                <w:rFonts w:cs="Times New Roman"/>
                <w:color w:val="000000"/>
                <w:sz w:val="18"/>
                <w:szCs w:val="18"/>
              </w:rPr>
              <w:br/>
              <w:t xml:space="preserve">5. suitability of equipment and its accessibility for cleaning, maintenance and preventive maintenance, </w:t>
            </w:r>
            <w:r w:rsidRPr="00E53977">
              <w:rPr>
                <w:rFonts w:cs="Times New Roman"/>
                <w:color w:val="000000"/>
                <w:sz w:val="18"/>
                <w:szCs w:val="18"/>
              </w:rPr>
              <w:br/>
              <w:t xml:space="preserve">6. management of purchased materials, </w:t>
            </w:r>
            <w:r w:rsidRPr="00E53977">
              <w:rPr>
                <w:rFonts w:cs="Times New Roman"/>
                <w:color w:val="000000"/>
                <w:sz w:val="18"/>
                <w:szCs w:val="18"/>
              </w:rPr>
              <w:br/>
              <w:t>7. measures for the prevention of cross-contamination, cleaning and sanitizing, pest control, and personnel hygiene.</w:t>
            </w:r>
          </w:p>
        </w:tc>
        <w:tc>
          <w:tcPr>
            <w:tcW w:w="1248" w:type="dxa"/>
            <w:noWrap/>
          </w:tcPr>
          <w:p w14:paraId="1808C5A6"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r w:rsidRPr="00E53977">
              <w:rPr>
                <w:rFonts w:cs="Times New Roman"/>
                <w:color w:val="000000"/>
                <w:sz w:val="18"/>
                <w:szCs w:val="18"/>
              </w:rPr>
              <w:br/>
              <w:t>Kutaisi</w:t>
            </w:r>
          </w:p>
        </w:tc>
        <w:tc>
          <w:tcPr>
            <w:tcW w:w="1542" w:type="dxa"/>
            <w:noWrap/>
          </w:tcPr>
          <w:p w14:paraId="2393405B"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Food Inspectors representing regional offices of NFA in Tbilisi, Kvemo Kartli, Shida Kartli, Mtskheta-Mtianeti, Kakheti, Imereti, Guria, Adjara, and Racha</w:t>
            </w:r>
          </w:p>
        </w:tc>
      </w:tr>
      <w:tr w:rsidR="00B9071F" w:rsidRPr="00E53977" w14:paraId="7EFC4C01" w14:textId="77777777" w:rsidTr="00FF581B">
        <w:trPr>
          <w:trHeight w:val="20"/>
        </w:trPr>
        <w:tc>
          <w:tcPr>
            <w:tcW w:w="1165" w:type="dxa"/>
            <w:noWrap/>
          </w:tcPr>
          <w:p w14:paraId="44F44DAB"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September 25-29, 2017</w:t>
            </w:r>
          </w:p>
        </w:tc>
        <w:tc>
          <w:tcPr>
            <w:tcW w:w="1170" w:type="dxa"/>
            <w:noWrap/>
          </w:tcPr>
          <w:p w14:paraId="6B547E1F"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Study Tour</w:t>
            </w:r>
          </w:p>
        </w:tc>
        <w:tc>
          <w:tcPr>
            <w:tcW w:w="1350" w:type="dxa"/>
          </w:tcPr>
          <w:p w14:paraId="237765C6"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Official control and regulations in EU for fish and fishery products </w:t>
            </w:r>
          </w:p>
        </w:tc>
        <w:tc>
          <w:tcPr>
            <w:tcW w:w="3240" w:type="dxa"/>
          </w:tcPr>
          <w:p w14:paraId="36880FCF"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EU relevant legislation and improve inspection capabilities of FBOs in fish supply chain</w:t>
            </w:r>
          </w:p>
        </w:tc>
        <w:tc>
          <w:tcPr>
            <w:tcW w:w="1248" w:type="dxa"/>
            <w:noWrap/>
          </w:tcPr>
          <w:p w14:paraId="1CD3387D"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Latvia</w:t>
            </w:r>
          </w:p>
        </w:tc>
        <w:tc>
          <w:tcPr>
            <w:tcW w:w="1542" w:type="dxa"/>
            <w:noWrap/>
          </w:tcPr>
          <w:p w14:paraId="6E2AE767"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7 NFA staff from HQ and Tbilisi Regional Office, who will train NFA inspectors upon their return to Georgia</w:t>
            </w:r>
          </w:p>
        </w:tc>
      </w:tr>
      <w:tr w:rsidR="00B9071F" w:rsidRPr="00E53977" w14:paraId="0690385B" w14:textId="77777777" w:rsidTr="00FF581B">
        <w:trPr>
          <w:trHeight w:val="20"/>
        </w:trPr>
        <w:tc>
          <w:tcPr>
            <w:tcW w:w="1165" w:type="dxa"/>
            <w:noWrap/>
          </w:tcPr>
          <w:p w14:paraId="2FFCD0A7"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October 16-25, 2017</w:t>
            </w:r>
          </w:p>
        </w:tc>
        <w:tc>
          <w:tcPr>
            <w:tcW w:w="1170" w:type="dxa"/>
            <w:noWrap/>
          </w:tcPr>
          <w:p w14:paraId="10DD6E1D"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19D6010A"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Lithuania’s State Food and Veterinary Service (SFVS) Training Series (3-days each) for NFA inspectors</w:t>
            </w:r>
          </w:p>
        </w:tc>
        <w:tc>
          <w:tcPr>
            <w:tcW w:w="3240" w:type="dxa"/>
          </w:tcPr>
          <w:p w14:paraId="41F2A071"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Inspection of FBOs representing meat, meat products, milk, dairy, and food service, consisting of 2 days of lectures and 1 day of hands on inspection training at FBO premises for:</w:t>
            </w:r>
            <w:r w:rsidRPr="00E53977">
              <w:rPr>
                <w:rFonts w:cs="Times New Roman"/>
                <w:color w:val="000000"/>
                <w:sz w:val="18"/>
                <w:szCs w:val="18"/>
              </w:rPr>
              <w:br/>
              <w:t xml:space="preserve">1. production technologies, </w:t>
            </w:r>
            <w:r w:rsidRPr="00E53977">
              <w:rPr>
                <w:rFonts w:cs="Times New Roman"/>
                <w:color w:val="000000"/>
                <w:sz w:val="18"/>
                <w:szCs w:val="18"/>
              </w:rPr>
              <w:br/>
              <w:t xml:space="preserve">2. biological, chemical and physical hazards, </w:t>
            </w:r>
            <w:r w:rsidRPr="00E53977">
              <w:rPr>
                <w:rFonts w:cs="Times New Roman"/>
                <w:color w:val="000000"/>
                <w:sz w:val="18"/>
                <w:szCs w:val="18"/>
              </w:rPr>
              <w:br/>
              <w:t xml:space="preserve">3. foodborne illnesses, </w:t>
            </w:r>
            <w:r w:rsidRPr="00E53977">
              <w:rPr>
                <w:rFonts w:cs="Times New Roman"/>
                <w:color w:val="000000"/>
                <w:sz w:val="18"/>
                <w:szCs w:val="18"/>
              </w:rPr>
              <w:br/>
              <w:t xml:space="preserve">4. EU regulations, directives and international standards, </w:t>
            </w:r>
            <w:r w:rsidRPr="00E53977">
              <w:rPr>
                <w:rFonts w:cs="Times New Roman"/>
                <w:color w:val="000000"/>
                <w:sz w:val="18"/>
                <w:szCs w:val="18"/>
              </w:rPr>
              <w:br/>
              <w:t xml:space="preserve">5. state control (inspection, administration), </w:t>
            </w:r>
            <w:r w:rsidRPr="00E53977">
              <w:rPr>
                <w:rFonts w:cs="Times New Roman"/>
                <w:color w:val="000000"/>
                <w:sz w:val="18"/>
                <w:szCs w:val="18"/>
              </w:rPr>
              <w:br/>
              <w:t>6. HACCP audit</w:t>
            </w:r>
          </w:p>
        </w:tc>
        <w:tc>
          <w:tcPr>
            <w:tcW w:w="1248" w:type="dxa"/>
            <w:noWrap/>
          </w:tcPr>
          <w:p w14:paraId="1401F7A7"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r w:rsidRPr="00E53977">
              <w:rPr>
                <w:rFonts w:cs="Times New Roman"/>
                <w:color w:val="000000"/>
                <w:sz w:val="18"/>
                <w:szCs w:val="18"/>
              </w:rPr>
              <w:br/>
              <w:t>Kutaisi</w:t>
            </w:r>
            <w:r w:rsidRPr="00E53977">
              <w:rPr>
                <w:rFonts w:cs="Times New Roman"/>
                <w:color w:val="000000"/>
                <w:sz w:val="18"/>
                <w:szCs w:val="18"/>
              </w:rPr>
              <w:br/>
              <w:t>Batumi</w:t>
            </w:r>
          </w:p>
        </w:tc>
        <w:tc>
          <w:tcPr>
            <w:tcW w:w="1542" w:type="dxa"/>
            <w:noWrap/>
          </w:tcPr>
          <w:p w14:paraId="2A868B06"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40 inspectors were trained representing NFA HQ Food Safety Department, Tbilisi Office, Shida Kartli, Mtskheta-Mtianeti, Imereti, Samegrelo, Adjara, and Guria for meat and meat products FBO inspections.</w:t>
            </w:r>
          </w:p>
        </w:tc>
      </w:tr>
      <w:tr w:rsidR="00B9071F" w:rsidRPr="00E53977" w14:paraId="1E44C5AA" w14:textId="77777777" w:rsidTr="00FF581B">
        <w:trPr>
          <w:trHeight w:val="20"/>
        </w:trPr>
        <w:tc>
          <w:tcPr>
            <w:tcW w:w="1165" w:type="dxa"/>
            <w:noWrap/>
          </w:tcPr>
          <w:p w14:paraId="65CE9FFF"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October 26-November 4, 2017</w:t>
            </w:r>
          </w:p>
        </w:tc>
        <w:tc>
          <w:tcPr>
            <w:tcW w:w="1170" w:type="dxa"/>
            <w:noWrap/>
          </w:tcPr>
          <w:p w14:paraId="42DCE888"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2FD17CA7"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Lithuania’s State Food and Veterinary Service (SFVS) Training Series (3-days each) for NFA inspectors</w:t>
            </w:r>
          </w:p>
        </w:tc>
        <w:tc>
          <w:tcPr>
            <w:tcW w:w="3240" w:type="dxa"/>
          </w:tcPr>
          <w:p w14:paraId="12A7E4F1"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Inspection of FBOs representing meat, meat products, milk, dairy, and food service, consisting of 2 days of lectures and 1 day of hands on inspection training at FBO premises for:</w:t>
            </w:r>
            <w:r w:rsidRPr="00E53977">
              <w:rPr>
                <w:rFonts w:cs="Times New Roman"/>
                <w:color w:val="000000"/>
                <w:sz w:val="18"/>
                <w:szCs w:val="18"/>
              </w:rPr>
              <w:br/>
              <w:t xml:space="preserve">1. production technologies, </w:t>
            </w:r>
            <w:r w:rsidRPr="00E53977">
              <w:rPr>
                <w:rFonts w:cs="Times New Roman"/>
                <w:color w:val="000000"/>
                <w:sz w:val="18"/>
                <w:szCs w:val="18"/>
              </w:rPr>
              <w:br/>
              <w:t xml:space="preserve">2. biological, chemical and physical hazards, </w:t>
            </w:r>
            <w:r w:rsidRPr="00E53977">
              <w:rPr>
                <w:rFonts w:cs="Times New Roman"/>
                <w:color w:val="000000"/>
                <w:sz w:val="18"/>
                <w:szCs w:val="18"/>
              </w:rPr>
              <w:br/>
              <w:t xml:space="preserve">3. foodborne illnesses, </w:t>
            </w:r>
            <w:r w:rsidRPr="00E53977">
              <w:rPr>
                <w:rFonts w:cs="Times New Roman"/>
                <w:color w:val="000000"/>
                <w:sz w:val="18"/>
                <w:szCs w:val="18"/>
              </w:rPr>
              <w:br/>
              <w:t xml:space="preserve">4. EU regulations, directives and international standards, </w:t>
            </w:r>
            <w:r w:rsidRPr="00E53977">
              <w:rPr>
                <w:rFonts w:cs="Times New Roman"/>
                <w:color w:val="000000"/>
                <w:sz w:val="18"/>
                <w:szCs w:val="18"/>
              </w:rPr>
              <w:br/>
            </w:r>
            <w:r w:rsidRPr="00E53977">
              <w:rPr>
                <w:rFonts w:cs="Times New Roman"/>
                <w:color w:val="000000"/>
                <w:sz w:val="18"/>
                <w:szCs w:val="18"/>
              </w:rPr>
              <w:lastRenderedPageBreak/>
              <w:t xml:space="preserve">5. state control (inspection, administration), </w:t>
            </w:r>
            <w:r w:rsidRPr="00E53977">
              <w:rPr>
                <w:rFonts w:cs="Times New Roman"/>
                <w:color w:val="000000"/>
                <w:sz w:val="18"/>
                <w:szCs w:val="18"/>
              </w:rPr>
              <w:br/>
              <w:t>6. HACCP audit</w:t>
            </w:r>
          </w:p>
        </w:tc>
        <w:tc>
          <w:tcPr>
            <w:tcW w:w="1248" w:type="dxa"/>
            <w:noWrap/>
          </w:tcPr>
          <w:p w14:paraId="4E06B5F6"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lastRenderedPageBreak/>
              <w:t>Tbilisi</w:t>
            </w:r>
            <w:r w:rsidRPr="00E53977">
              <w:rPr>
                <w:rFonts w:cs="Times New Roman"/>
                <w:color w:val="000000"/>
                <w:sz w:val="18"/>
                <w:szCs w:val="18"/>
              </w:rPr>
              <w:br/>
              <w:t>Telavi</w:t>
            </w:r>
            <w:r w:rsidRPr="00E53977">
              <w:rPr>
                <w:rFonts w:cs="Times New Roman"/>
                <w:color w:val="000000"/>
                <w:sz w:val="18"/>
                <w:szCs w:val="18"/>
              </w:rPr>
              <w:br/>
              <w:t>Akhaltsikhe</w:t>
            </w:r>
          </w:p>
        </w:tc>
        <w:tc>
          <w:tcPr>
            <w:tcW w:w="1542" w:type="dxa"/>
            <w:noWrap/>
          </w:tcPr>
          <w:p w14:paraId="727F71FC"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40 persons from NFA HQ Food Safety Department, from Tbilisi Office, Kvemo Kartli Region, Kakheti Region, Samtskhe-Javakheti Region, and Shida Kartli </w:t>
            </w:r>
            <w:r w:rsidRPr="00E53977">
              <w:rPr>
                <w:rFonts w:cs="Times New Roman"/>
                <w:color w:val="000000"/>
                <w:sz w:val="18"/>
                <w:szCs w:val="18"/>
              </w:rPr>
              <w:lastRenderedPageBreak/>
              <w:t>Region for milk and dairy FBOs</w:t>
            </w:r>
          </w:p>
        </w:tc>
      </w:tr>
      <w:tr w:rsidR="00B9071F" w:rsidRPr="00E53977" w14:paraId="480554B1" w14:textId="77777777" w:rsidTr="00FF581B">
        <w:trPr>
          <w:trHeight w:val="20"/>
        </w:trPr>
        <w:tc>
          <w:tcPr>
            <w:tcW w:w="1165" w:type="dxa"/>
            <w:noWrap/>
          </w:tcPr>
          <w:p w14:paraId="4F5FBAA3"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lastRenderedPageBreak/>
              <w:t>November 6-15, 2017</w:t>
            </w:r>
          </w:p>
        </w:tc>
        <w:tc>
          <w:tcPr>
            <w:tcW w:w="1170" w:type="dxa"/>
            <w:noWrap/>
          </w:tcPr>
          <w:p w14:paraId="2687DBAE"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45035B3B"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Lithuania’s State Food and Veterinary Service (SFVS) Training Series (3-days each) for NFA inspectors</w:t>
            </w:r>
          </w:p>
        </w:tc>
        <w:tc>
          <w:tcPr>
            <w:tcW w:w="3240" w:type="dxa"/>
          </w:tcPr>
          <w:p w14:paraId="2CCFC90A"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Inspection of FBOs representing meat, meat products, milk, dairy, and food service, consisting of 2 days of lectures and 1 day of hands on inspection training at FBO premises for:</w:t>
            </w:r>
            <w:r w:rsidRPr="00E53977">
              <w:rPr>
                <w:rFonts w:cs="Times New Roman"/>
                <w:color w:val="000000"/>
                <w:sz w:val="18"/>
                <w:szCs w:val="18"/>
              </w:rPr>
              <w:br/>
              <w:t xml:space="preserve">1. production technologies, </w:t>
            </w:r>
            <w:r w:rsidRPr="00E53977">
              <w:rPr>
                <w:rFonts w:cs="Times New Roman"/>
                <w:color w:val="000000"/>
                <w:sz w:val="18"/>
                <w:szCs w:val="18"/>
              </w:rPr>
              <w:br/>
              <w:t xml:space="preserve">2. biological, chemical and physical hazards, </w:t>
            </w:r>
            <w:r w:rsidRPr="00E53977">
              <w:rPr>
                <w:rFonts w:cs="Times New Roman"/>
                <w:color w:val="000000"/>
                <w:sz w:val="18"/>
                <w:szCs w:val="18"/>
              </w:rPr>
              <w:br/>
              <w:t xml:space="preserve">3. foodborne illnesses, </w:t>
            </w:r>
            <w:r w:rsidRPr="00E53977">
              <w:rPr>
                <w:rFonts w:cs="Times New Roman"/>
                <w:color w:val="000000"/>
                <w:sz w:val="18"/>
                <w:szCs w:val="18"/>
              </w:rPr>
              <w:br/>
              <w:t xml:space="preserve">4. EU regulations, directives and international standards, </w:t>
            </w:r>
            <w:r w:rsidRPr="00E53977">
              <w:rPr>
                <w:rFonts w:cs="Times New Roman"/>
                <w:color w:val="000000"/>
                <w:sz w:val="18"/>
                <w:szCs w:val="18"/>
              </w:rPr>
              <w:br/>
              <w:t xml:space="preserve">5. state control (inspection, administration), </w:t>
            </w:r>
            <w:r w:rsidRPr="00E53977">
              <w:rPr>
                <w:rFonts w:cs="Times New Roman"/>
                <w:color w:val="000000"/>
                <w:sz w:val="18"/>
                <w:szCs w:val="18"/>
              </w:rPr>
              <w:br/>
              <w:t>6. HACCP audit</w:t>
            </w:r>
          </w:p>
        </w:tc>
        <w:tc>
          <w:tcPr>
            <w:tcW w:w="1248" w:type="dxa"/>
            <w:noWrap/>
          </w:tcPr>
          <w:p w14:paraId="3A605FF9"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r w:rsidRPr="00E53977">
              <w:rPr>
                <w:rFonts w:cs="Times New Roman"/>
                <w:color w:val="000000"/>
                <w:sz w:val="18"/>
                <w:szCs w:val="18"/>
              </w:rPr>
              <w:br/>
              <w:t>Kutaisi</w:t>
            </w:r>
            <w:r w:rsidRPr="00E53977">
              <w:rPr>
                <w:rFonts w:cs="Times New Roman"/>
                <w:color w:val="000000"/>
                <w:sz w:val="18"/>
                <w:szCs w:val="18"/>
              </w:rPr>
              <w:br/>
              <w:t>Batumi</w:t>
            </w:r>
          </w:p>
        </w:tc>
        <w:tc>
          <w:tcPr>
            <w:tcW w:w="1542" w:type="dxa"/>
            <w:noWrap/>
          </w:tcPr>
          <w:p w14:paraId="1E4E970B"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40 officials representing NFA HQ Food Safety Department, Tbilisi Office, Shida Kartli, Mtskheta-Mtianeti, Imereti, Samegrelo, Adjara, and Guria for food service FBOs</w:t>
            </w:r>
          </w:p>
        </w:tc>
      </w:tr>
      <w:tr w:rsidR="00B9071F" w:rsidRPr="00E53977" w14:paraId="15FBE7AD" w14:textId="77777777" w:rsidTr="00FF581B">
        <w:trPr>
          <w:trHeight w:val="20"/>
        </w:trPr>
        <w:tc>
          <w:tcPr>
            <w:tcW w:w="1165" w:type="dxa"/>
            <w:noWrap/>
          </w:tcPr>
          <w:p w14:paraId="0F8EE006"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April 28, 2017</w:t>
            </w:r>
          </w:p>
        </w:tc>
        <w:tc>
          <w:tcPr>
            <w:tcW w:w="1170" w:type="dxa"/>
            <w:noWrap/>
          </w:tcPr>
          <w:p w14:paraId="7734F1DC"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452F8127"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Inception Training for Food Safety Working Group (FSWG)</w:t>
            </w:r>
          </w:p>
        </w:tc>
        <w:tc>
          <w:tcPr>
            <w:tcW w:w="3240" w:type="dxa"/>
          </w:tcPr>
          <w:p w14:paraId="4A7A954D"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Review of EU Regulation 609/2013 of the European Parliament and of the Council of 12 June 2013 on food intended for infants and young children, food for special medical purposes, and total diet replacement for weight control.</w:t>
            </w:r>
          </w:p>
        </w:tc>
        <w:tc>
          <w:tcPr>
            <w:tcW w:w="1248" w:type="dxa"/>
            <w:noWrap/>
          </w:tcPr>
          <w:p w14:paraId="5BBE8689"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373C0E43"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10 FSWG members, including representatives of the MoA, NFA, and the MHLSA</w:t>
            </w:r>
          </w:p>
        </w:tc>
      </w:tr>
      <w:tr w:rsidR="00B9071F" w:rsidRPr="00E53977" w14:paraId="7FF1BBE8" w14:textId="77777777" w:rsidTr="00FF581B">
        <w:trPr>
          <w:trHeight w:val="20"/>
        </w:trPr>
        <w:tc>
          <w:tcPr>
            <w:tcW w:w="1165" w:type="dxa"/>
            <w:noWrap/>
          </w:tcPr>
          <w:p w14:paraId="7BF38853"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May 23, 2017</w:t>
            </w:r>
          </w:p>
        </w:tc>
        <w:tc>
          <w:tcPr>
            <w:tcW w:w="1170" w:type="dxa"/>
            <w:noWrap/>
          </w:tcPr>
          <w:p w14:paraId="48C1C5FF"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4CD5AC91"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Inception Training for Food Safety Working Group (FSWG)</w:t>
            </w:r>
          </w:p>
        </w:tc>
        <w:tc>
          <w:tcPr>
            <w:tcW w:w="3240" w:type="dxa"/>
          </w:tcPr>
          <w:p w14:paraId="3C4A03DA"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Review of EC Regulation 1935/2004 of the European Parliament and of the Council of 27 October 2004 on materials and articles intended to come into contact with food. Training presentation addressed topics as follows: complementary legislation, key elements of the regulation, general purpose, specific provisions for active and intelligent food contact materials (FCMs), specific requirements for all groups of FCMs, authorization procedures, labelling provisions, compliance and traceability measures, safeguard measures, enforcement provisions, and experience of enforcement. </w:t>
            </w:r>
          </w:p>
        </w:tc>
        <w:tc>
          <w:tcPr>
            <w:tcW w:w="1248" w:type="dxa"/>
            <w:noWrap/>
          </w:tcPr>
          <w:p w14:paraId="7E829F7A"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742D10FD"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10 FSWG members, including representatives of the MoA, NFA, and the MHLSA</w:t>
            </w:r>
          </w:p>
        </w:tc>
      </w:tr>
      <w:tr w:rsidR="00B9071F" w:rsidRPr="00E53977" w14:paraId="784A5550" w14:textId="77777777" w:rsidTr="00FF581B">
        <w:trPr>
          <w:trHeight w:val="20"/>
        </w:trPr>
        <w:tc>
          <w:tcPr>
            <w:tcW w:w="1165" w:type="dxa"/>
            <w:noWrap/>
          </w:tcPr>
          <w:p w14:paraId="77C2B92D"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June 29-30, 2017</w:t>
            </w:r>
          </w:p>
        </w:tc>
        <w:tc>
          <w:tcPr>
            <w:tcW w:w="1170" w:type="dxa"/>
            <w:noWrap/>
          </w:tcPr>
          <w:p w14:paraId="0446E3F8"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Roundtable </w:t>
            </w:r>
          </w:p>
        </w:tc>
        <w:tc>
          <w:tcPr>
            <w:tcW w:w="1350" w:type="dxa"/>
          </w:tcPr>
          <w:p w14:paraId="2EA454DF"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Border Inspection Points monitoring plans</w:t>
            </w:r>
          </w:p>
        </w:tc>
        <w:tc>
          <w:tcPr>
            <w:tcW w:w="3240" w:type="dxa"/>
          </w:tcPr>
          <w:p w14:paraId="7158B631"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1. Proposal of amendments to the current veterinary monitoring plan at the BIPs, and appropriateness of withholding certain category of food products at the BIPs until laboratory analysis results are available. </w:t>
            </w:r>
            <w:r w:rsidRPr="00E53977">
              <w:rPr>
                <w:rFonts w:cs="Times New Roman"/>
                <w:color w:val="000000"/>
                <w:sz w:val="18"/>
                <w:szCs w:val="18"/>
              </w:rPr>
              <w:br/>
              <w:t xml:space="preserve">2. Participants agreed veterinary monitoring plan and decided to have coordination meetings on a regular basis. </w:t>
            </w:r>
          </w:p>
        </w:tc>
        <w:tc>
          <w:tcPr>
            <w:tcW w:w="1248" w:type="dxa"/>
            <w:noWrap/>
          </w:tcPr>
          <w:p w14:paraId="73526511"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3AFC3357"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Food Safety Department of the NFA and Customs Administration of the Revenue Service</w:t>
            </w:r>
          </w:p>
        </w:tc>
      </w:tr>
      <w:tr w:rsidR="00B9071F" w:rsidRPr="00E53977" w14:paraId="7A9F9A84" w14:textId="77777777" w:rsidTr="00FF581B">
        <w:trPr>
          <w:trHeight w:val="20"/>
        </w:trPr>
        <w:tc>
          <w:tcPr>
            <w:tcW w:w="1165" w:type="dxa"/>
            <w:noWrap/>
          </w:tcPr>
          <w:p w14:paraId="56B7CD8E"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August 1-4, 2017</w:t>
            </w:r>
          </w:p>
        </w:tc>
        <w:tc>
          <w:tcPr>
            <w:tcW w:w="1170" w:type="dxa"/>
            <w:noWrap/>
          </w:tcPr>
          <w:p w14:paraId="6455A536"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Roundtable </w:t>
            </w:r>
          </w:p>
        </w:tc>
        <w:tc>
          <w:tcPr>
            <w:tcW w:w="1350" w:type="dxa"/>
          </w:tcPr>
          <w:p w14:paraId="44B006A6"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Follow-up for Border Inspection Points monitoring plans</w:t>
            </w:r>
          </w:p>
        </w:tc>
        <w:tc>
          <w:tcPr>
            <w:tcW w:w="3240" w:type="dxa"/>
          </w:tcPr>
          <w:p w14:paraId="2FFBD5B6"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1. Discussion continued on proposal of amendments to the current veterinary monitoring plan at the BIPs and other topics, which included sampling methodology for laboratory testing of animal origin food, appropriateness of withholding certain category of food products at the BIPs until laboratory analysis results are available, and requirements of Decree # 567 from Dec. 23, 2017 on ‘Border Control Regulation of Non-Animal Origin Food/Feed’. </w:t>
            </w:r>
            <w:r w:rsidRPr="00E53977">
              <w:rPr>
                <w:rFonts w:cs="Times New Roman"/>
                <w:color w:val="000000"/>
                <w:sz w:val="18"/>
                <w:szCs w:val="18"/>
              </w:rPr>
              <w:br/>
              <w:t xml:space="preserve">2. Participants agreed control regulations of non-animal food/feed, prepared drafts of food/feed monitoring plan criteria and decided to have coordination meetings on a regular basis. </w:t>
            </w:r>
          </w:p>
        </w:tc>
        <w:tc>
          <w:tcPr>
            <w:tcW w:w="1248" w:type="dxa"/>
            <w:noWrap/>
          </w:tcPr>
          <w:p w14:paraId="6B4284ED"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71F261D2" w14:textId="58528030"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Food Safety Department of the NFA and Customs Administration of the Revenue Service (5 from</w:t>
            </w:r>
            <w:r w:rsidR="00AB6B2F" w:rsidRPr="00E53977">
              <w:rPr>
                <w:rFonts w:cs="Times New Roman"/>
                <w:color w:val="000000"/>
                <w:sz w:val="18"/>
                <w:szCs w:val="18"/>
              </w:rPr>
              <w:t xml:space="preserve"> </w:t>
            </w:r>
            <w:r w:rsidRPr="00E53977">
              <w:rPr>
                <w:rFonts w:cs="Times New Roman"/>
                <w:color w:val="000000"/>
                <w:sz w:val="18"/>
                <w:szCs w:val="18"/>
              </w:rPr>
              <w:t>NFA, 3 authorized from</w:t>
            </w:r>
            <w:r w:rsidR="00AB6B2F" w:rsidRPr="00E53977">
              <w:rPr>
                <w:rFonts w:cs="Times New Roman"/>
                <w:color w:val="000000"/>
                <w:sz w:val="18"/>
                <w:szCs w:val="18"/>
              </w:rPr>
              <w:t xml:space="preserve"> </w:t>
            </w:r>
            <w:r w:rsidRPr="00E53977">
              <w:rPr>
                <w:rFonts w:cs="Times New Roman"/>
                <w:color w:val="000000"/>
                <w:sz w:val="18"/>
                <w:szCs w:val="18"/>
              </w:rPr>
              <w:t>RS)</w:t>
            </w:r>
          </w:p>
        </w:tc>
      </w:tr>
      <w:tr w:rsidR="00B9071F" w:rsidRPr="00E53977" w14:paraId="547BC97C" w14:textId="77777777" w:rsidTr="00FF581B">
        <w:trPr>
          <w:trHeight w:val="20"/>
        </w:trPr>
        <w:tc>
          <w:tcPr>
            <w:tcW w:w="1165" w:type="dxa"/>
            <w:noWrap/>
          </w:tcPr>
          <w:p w14:paraId="57F7A314"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lastRenderedPageBreak/>
              <w:t>May 19, 2017</w:t>
            </w:r>
          </w:p>
        </w:tc>
        <w:tc>
          <w:tcPr>
            <w:tcW w:w="1170" w:type="dxa"/>
            <w:noWrap/>
          </w:tcPr>
          <w:p w14:paraId="52380A1C"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4AE8B7D3"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Lecture at the Academy of Sciences on Trans-Fats</w:t>
            </w:r>
          </w:p>
        </w:tc>
        <w:tc>
          <w:tcPr>
            <w:tcW w:w="3240" w:type="dxa"/>
          </w:tcPr>
          <w:p w14:paraId="5CE109D2"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Artificial trans-fat in popular foods: a market basket investigation in 2015-2016 in 15 countries of the former Soviet Union’ delivered by Dutch expert Dr Steen Stender</w:t>
            </w:r>
          </w:p>
        </w:tc>
        <w:tc>
          <w:tcPr>
            <w:tcW w:w="1248" w:type="dxa"/>
            <w:noWrap/>
          </w:tcPr>
          <w:p w14:paraId="404293E8"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55310438"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NFA and LMA staff</w:t>
            </w:r>
          </w:p>
        </w:tc>
      </w:tr>
      <w:tr w:rsidR="00B9071F" w:rsidRPr="00E53977" w14:paraId="429D5F59" w14:textId="77777777" w:rsidTr="00FF581B">
        <w:trPr>
          <w:trHeight w:val="20"/>
        </w:trPr>
        <w:tc>
          <w:tcPr>
            <w:tcW w:w="1165" w:type="dxa"/>
            <w:noWrap/>
          </w:tcPr>
          <w:p w14:paraId="2BED7E87"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July 3-14, 2017</w:t>
            </w:r>
          </w:p>
        </w:tc>
        <w:tc>
          <w:tcPr>
            <w:tcW w:w="1170" w:type="dxa"/>
            <w:noWrap/>
          </w:tcPr>
          <w:p w14:paraId="511BCAC6"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Study Tour</w:t>
            </w:r>
          </w:p>
        </w:tc>
        <w:tc>
          <w:tcPr>
            <w:tcW w:w="1350" w:type="dxa"/>
          </w:tcPr>
          <w:p w14:paraId="323EDD94"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SRCA Study Tour</w:t>
            </w:r>
          </w:p>
        </w:tc>
        <w:tc>
          <w:tcPr>
            <w:tcW w:w="3240" w:type="dxa"/>
          </w:tcPr>
          <w:p w14:paraId="30C753D4"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Participation of the newly elected Chairman of the Risk Assessment Scientific Council at the SRCA, at BfR Summer Academy on Risk Assessment and Risk Communication in Food Safety</w:t>
            </w:r>
          </w:p>
        </w:tc>
        <w:tc>
          <w:tcPr>
            <w:tcW w:w="1248" w:type="dxa"/>
            <w:noWrap/>
          </w:tcPr>
          <w:p w14:paraId="69E7B66B"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Berlin, Germany</w:t>
            </w:r>
          </w:p>
        </w:tc>
        <w:tc>
          <w:tcPr>
            <w:tcW w:w="1542" w:type="dxa"/>
            <w:noWrap/>
          </w:tcPr>
          <w:p w14:paraId="794E0EDE"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SRCA staff</w:t>
            </w:r>
          </w:p>
        </w:tc>
      </w:tr>
      <w:tr w:rsidR="00B9071F" w:rsidRPr="00E53977" w14:paraId="49A32ED4" w14:textId="77777777" w:rsidTr="00FF581B">
        <w:trPr>
          <w:trHeight w:val="20"/>
        </w:trPr>
        <w:tc>
          <w:tcPr>
            <w:tcW w:w="1165" w:type="dxa"/>
            <w:noWrap/>
          </w:tcPr>
          <w:p w14:paraId="2A5FA72F"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May 1-5, 2017</w:t>
            </w:r>
          </w:p>
        </w:tc>
        <w:tc>
          <w:tcPr>
            <w:tcW w:w="1170" w:type="dxa"/>
            <w:noWrap/>
          </w:tcPr>
          <w:p w14:paraId="329D8559"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Study Tour</w:t>
            </w:r>
          </w:p>
        </w:tc>
        <w:tc>
          <w:tcPr>
            <w:tcW w:w="1350" w:type="dxa"/>
          </w:tcPr>
          <w:p w14:paraId="601187EA"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MoA/NFA Veterinary Working Group (VWG) Study Tour</w:t>
            </w:r>
          </w:p>
        </w:tc>
        <w:tc>
          <w:tcPr>
            <w:tcW w:w="3240" w:type="dxa"/>
          </w:tcPr>
          <w:p w14:paraId="1B97FB05"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1. Developing EU equivalent (EU Regulations 1069/2009, 1774/2002 and 142/2011) Georgian legislation on animal by products not intended for human consumption, especially on the aspects of implementation of legislative requirements.</w:t>
            </w:r>
            <w:r w:rsidRPr="00E53977">
              <w:rPr>
                <w:rFonts w:cs="Times New Roman"/>
                <w:color w:val="000000"/>
                <w:sz w:val="18"/>
                <w:szCs w:val="18"/>
              </w:rPr>
              <w:br/>
              <w:t xml:space="preserve">2. The topics of lectures consisted of overview of animal by-products sector in Estonia, approval and registration of enterprises, principles of official controls, implementation of requirements, state veterinarian/ inspector continued trainings, audit system, derogations, and other state institutions involved in implementation of animal by-product legislation. </w:t>
            </w:r>
          </w:p>
        </w:tc>
        <w:tc>
          <w:tcPr>
            <w:tcW w:w="1248" w:type="dxa"/>
            <w:noWrap/>
          </w:tcPr>
          <w:p w14:paraId="3085AE95"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Estonia</w:t>
            </w:r>
          </w:p>
        </w:tc>
        <w:tc>
          <w:tcPr>
            <w:tcW w:w="1542" w:type="dxa"/>
            <w:noWrap/>
          </w:tcPr>
          <w:p w14:paraId="138753B6"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5 NFA and MoPA staff</w:t>
            </w:r>
          </w:p>
        </w:tc>
      </w:tr>
      <w:tr w:rsidR="00B9071F" w:rsidRPr="00E53977" w14:paraId="15031944" w14:textId="77777777" w:rsidTr="00FF581B">
        <w:trPr>
          <w:trHeight w:val="20"/>
        </w:trPr>
        <w:tc>
          <w:tcPr>
            <w:tcW w:w="1165" w:type="dxa"/>
            <w:noWrap/>
          </w:tcPr>
          <w:p w14:paraId="14486052"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April 21, 2017</w:t>
            </w:r>
          </w:p>
        </w:tc>
        <w:tc>
          <w:tcPr>
            <w:tcW w:w="1170" w:type="dxa"/>
            <w:noWrap/>
          </w:tcPr>
          <w:p w14:paraId="37A3F372"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27BF2519"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Inception training for the Veterinary Working Group (VWG)</w:t>
            </w:r>
          </w:p>
        </w:tc>
        <w:tc>
          <w:tcPr>
            <w:tcW w:w="3240" w:type="dxa"/>
          </w:tcPr>
          <w:p w14:paraId="6AFEEAE6"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Council Directive 2006/88/EC as of 24 October 2006 on Animal Health Requirements for Aquaculture Animals and Products thereof, and on the Prevention and Control of Certain Diseases in Aquatic Animals</w:t>
            </w:r>
          </w:p>
        </w:tc>
        <w:tc>
          <w:tcPr>
            <w:tcW w:w="1248" w:type="dxa"/>
            <w:noWrap/>
          </w:tcPr>
          <w:p w14:paraId="508669F2"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4F9B546F"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5 VWG members</w:t>
            </w:r>
          </w:p>
        </w:tc>
      </w:tr>
      <w:tr w:rsidR="00B9071F" w:rsidRPr="00E53977" w14:paraId="0C31E864" w14:textId="77777777" w:rsidTr="00FF581B">
        <w:trPr>
          <w:trHeight w:val="20"/>
        </w:trPr>
        <w:tc>
          <w:tcPr>
            <w:tcW w:w="1165" w:type="dxa"/>
            <w:noWrap/>
          </w:tcPr>
          <w:p w14:paraId="32ED119B"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June 19, 2017</w:t>
            </w:r>
          </w:p>
        </w:tc>
        <w:tc>
          <w:tcPr>
            <w:tcW w:w="1170" w:type="dxa"/>
            <w:noWrap/>
          </w:tcPr>
          <w:p w14:paraId="4BC94139"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02D8005A"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Inception training for the Veterinary Working Group (VWG)</w:t>
            </w:r>
          </w:p>
        </w:tc>
        <w:tc>
          <w:tcPr>
            <w:tcW w:w="3240" w:type="dxa"/>
          </w:tcPr>
          <w:p w14:paraId="33922B9A"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EU Regulation 1251/2008 in regard to Conditions and Certification Requirements for the Placing on the Market and the Import into the Community of Aquaculture Animals and Products thereof and Laying down a List of Vector Species</w:t>
            </w:r>
          </w:p>
        </w:tc>
        <w:tc>
          <w:tcPr>
            <w:tcW w:w="1248" w:type="dxa"/>
            <w:noWrap/>
          </w:tcPr>
          <w:p w14:paraId="099F818D"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4739B718"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5 VWG members</w:t>
            </w:r>
          </w:p>
        </w:tc>
      </w:tr>
      <w:tr w:rsidR="00B9071F" w:rsidRPr="00E53977" w14:paraId="359E2F71" w14:textId="77777777" w:rsidTr="00FF581B">
        <w:trPr>
          <w:trHeight w:val="20"/>
        </w:trPr>
        <w:tc>
          <w:tcPr>
            <w:tcW w:w="1165" w:type="dxa"/>
            <w:noWrap/>
          </w:tcPr>
          <w:p w14:paraId="71AD018B"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September 20, 2017</w:t>
            </w:r>
            <w:r w:rsidRPr="00E53977">
              <w:rPr>
                <w:rFonts w:cs="Times New Roman"/>
                <w:color w:val="000000"/>
                <w:sz w:val="18"/>
                <w:szCs w:val="18"/>
              </w:rPr>
              <w:br/>
              <w:t>November 9, 2017</w:t>
            </w:r>
          </w:p>
        </w:tc>
        <w:tc>
          <w:tcPr>
            <w:tcW w:w="1170" w:type="dxa"/>
            <w:noWrap/>
          </w:tcPr>
          <w:p w14:paraId="15211AB3"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3209F967"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Inception training for the Veterinary Department’s Animal Feed Unit</w:t>
            </w:r>
          </w:p>
        </w:tc>
        <w:tc>
          <w:tcPr>
            <w:tcW w:w="3240" w:type="dxa"/>
          </w:tcPr>
          <w:p w14:paraId="43B1BCFC"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1. Review of EC Regulation 152/2009 covered approaches to official control of animal feed including the methods as follows: control composition of feed materials and compound feed, control the level of authorised additives in feed, control undesirable substances in feed, determination of constituents of animal origin of feed, estimation of the energy value of compound poultry feed, and control of illegal presence of unauthorized additives in feed and conformity assessment. </w:t>
            </w:r>
            <w:r w:rsidRPr="00E53977">
              <w:rPr>
                <w:rFonts w:cs="Times New Roman"/>
                <w:color w:val="000000"/>
                <w:sz w:val="18"/>
                <w:szCs w:val="18"/>
              </w:rPr>
              <w:br/>
              <w:t>2. Review of EC Regulation 1831/2003 addressed issues as follows placing on the market, processing and use, authorization and conditions for authorization, categories of feed additives, and labelling and packaging of feed additives and pre-mixtures.</w:t>
            </w:r>
          </w:p>
        </w:tc>
        <w:tc>
          <w:tcPr>
            <w:tcW w:w="1248" w:type="dxa"/>
            <w:noWrap/>
          </w:tcPr>
          <w:p w14:paraId="14ABDDDA"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206AA08E"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Veterinary Department’s Animal Feed Unit</w:t>
            </w:r>
          </w:p>
        </w:tc>
      </w:tr>
      <w:tr w:rsidR="00B9071F" w:rsidRPr="00E53977" w14:paraId="51335AA3" w14:textId="77777777" w:rsidTr="00FF581B">
        <w:trPr>
          <w:trHeight w:val="20"/>
        </w:trPr>
        <w:tc>
          <w:tcPr>
            <w:tcW w:w="1165" w:type="dxa"/>
            <w:noWrap/>
          </w:tcPr>
          <w:p w14:paraId="108EE350"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sz w:val="18"/>
                <w:szCs w:val="18"/>
              </w:rPr>
              <w:t>November 2017</w:t>
            </w:r>
          </w:p>
        </w:tc>
        <w:tc>
          <w:tcPr>
            <w:tcW w:w="1170" w:type="dxa"/>
            <w:noWrap/>
          </w:tcPr>
          <w:p w14:paraId="54B31EB2"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76AD7A10"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2 trainings for the NFA Veterinary Department and Veterinary Contractors on </w:t>
            </w:r>
            <w:r w:rsidRPr="00E53977">
              <w:rPr>
                <w:rFonts w:cs="Times New Roman"/>
                <w:color w:val="000000"/>
                <w:sz w:val="18"/>
                <w:szCs w:val="18"/>
              </w:rPr>
              <w:lastRenderedPageBreak/>
              <w:t xml:space="preserve">EU regulations on Prophylactic/quarantine rule against Anthrax, and sampling plans and diagnostic methods for the detection and confirmation of certain fish diseases. </w:t>
            </w:r>
          </w:p>
        </w:tc>
        <w:tc>
          <w:tcPr>
            <w:tcW w:w="3240" w:type="dxa"/>
          </w:tcPr>
          <w:p w14:paraId="7830AB20"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lastRenderedPageBreak/>
              <w:t xml:space="preserve">1. Legislation governing prophylactic/quarantine rule against Anthrax – awareness of the large scale construction projects about burial grounds of anthrax, informing of legal department of the MoA, and an </w:t>
            </w:r>
            <w:r w:rsidRPr="00E53977">
              <w:rPr>
                <w:rFonts w:cs="Times New Roman"/>
                <w:color w:val="000000"/>
                <w:sz w:val="18"/>
                <w:szCs w:val="18"/>
              </w:rPr>
              <w:lastRenderedPageBreak/>
              <w:t xml:space="preserve">agreement with the Ministry of Environment on clear redistribution of responsibilities. </w:t>
            </w:r>
            <w:r w:rsidRPr="00E53977">
              <w:rPr>
                <w:rFonts w:cs="Times New Roman"/>
                <w:color w:val="000000"/>
                <w:sz w:val="18"/>
                <w:szCs w:val="18"/>
              </w:rPr>
              <w:br/>
              <w:t xml:space="preserve">2. Legislation governing detection of fish diseases - capacity strengthening of inspectors in sampling, laboratory equipment, and implementation of laboratory standards. </w:t>
            </w:r>
          </w:p>
        </w:tc>
        <w:tc>
          <w:tcPr>
            <w:tcW w:w="1248" w:type="dxa"/>
            <w:noWrap/>
          </w:tcPr>
          <w:p w14:paraId="7E21D971"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lastRenderedPageBreak/>
              <w:t>Tbilisi</w:t>
            </w:r>
          </w:p>
        </w:tc>
        <w:tc>
          <w:tcPr>
            <w:tcW w:w="1542" w:type="dxa"/>
            <w:noWrap/>
          </w:tcPr>
          <w:p w14:paraId="739FB6C3"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NFA Veterinary Department and Veterinary Contractors </w:t>
            </w:r>
          </w:p>
        </w:tc>
      </w:tr>
      <w:tr w:rsidR="00B9071F" w:rsidRPr="00E53977" w14:paraId="3187E2C6" w14:textId="77777777" w:rsidTr="00FF581B">
        <w:trPr>
          <w:trHeight w:val="20"/>
        </w:trPr>
        <w:tc>
          <w:tcPr>
            <w:tcW w:w="1165" w:type="dxa"/>
            <w:noWrap/>
          </w:tcPr>
          <w:p w14:paraId="3A290C89"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June 14-16, 2017</w:t>
            </w:r>
          </w:p>
        </w:tc>
        <w:tc>
          <w:tcPr>
            <w:tcW w:w="1170" w:type="dxa"/>
            <w:noWrap/>
          </w:tcPr>
          <w:p w14:paraId="53D2BE22"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Workshop</w:t>
            </w:r>
          </w:p>
        </w:tc>
        <w:tc>
          <w:tcPr>
            <w:tcW w:w="1350" w:type="dxa"/>
          </w:tcPr>
          <w:p w14:paraId="56D4FA70"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Veterinary Working Group (VWG)</w:t>
            </w:r>
          </w:p>
        </w:tc>
        <w:tc>
          <w:tcPr>
            <w:tcW w:w="3240" w:type="dxa"/>
          </w:tcPr>
          <w:p w14:paraId="43987D98"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1. EU Regulation 1069/2009 of the European Parliament and of the Council of 21 October 2009 laying down Health Rules as Regards Animal by-products and Derived Products not Intended for Human Consumption.</w:t>
            </w:r>
            <w:r w:rsidRPr="00E53977">
              <w:rPr>
                <w:rFonts w:cs="Times New Roman"/>
                <w:color w:val="000000"/>
                <w:sz w:val="18"/>
                <w:szCs w:val="18"/>
              </w:rPr>
              <w:br/>
              <w:t xml:space="preserve">2. Delimitate roles and responsibilities of state institutions responsible for implementation of relevant legislation, development of the glossary, and agreement on the draft version of the legislation with the Ministry of Environment and Natural Resources Protection of Georgia. </w:t>
            </w:r>
            <w:r w:rsidRPr="00E53977">
              <w:rPr>
                <w:rFonts w:cs="Times New Roman"/>
                <w:color w:val="000000"/>
                <w:sz w:val="18"/>
                <w:szCs w:val="18"/>
              </w:rPr>
              <w:br/>
              <w:t xml:space="preserve">3. This workshop was the follow up workshop of the CIB supported May 2017 study tour in Estonia. </w:t>
            </w:r>
          </w:p>
        </w:tc>
        <w:tc>
          <w:tcPr>
            <w:tcW w:w="1248" w:type="dxa"/>
            <w:noWrap/>
          </w:tcPr>
          <w:p w14:paraId="4C170111"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Kachreti, Kakheti Region</w:t>
            </w:r>
          </w:p>
        </w:tc>
        <w:tc>
          <w:tcPr>
            <w:tcW w:w="1542" w:type="dxa"/>
            <w:noWrap/>
          </w:tcPr>
          <w:p w14:paraId="2990C2A4"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Veterinary Working Group (VWG)</w:t>
            </w:r>
          </w:p>
        </w:tc>
      </w:tr>
      <w:tr w:rsidR="00B9071F" w:rsidRPr="00E53977" w14:paraId="737AB6D7" w14:textId="77777777" w:rsidTr="00FF581B">
        <w:trPr>
          <w:trHeight w:val="20"/>
        </w:trPr>
        <w:tc>
          <w:tcPr>
            <w:tcW w:w="1165" w:type="dxa"/>
            <w:noWrap/>
          </w:tcPr>
          <w:p w14:paraId="45138D90"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sz w:val="18"/>
                <w:szCs w:val="18"/>
              </w:rPr>
              <w:t>February 2017</w:t>
            </w:r>
          </w:p>
        </w:tc>
        <w:tc>
          <w:tcPr>
            <w:tcW w:w="1170" w:type="dxa"/>
            <w:noWrap/>
          </w:tcPr>
          <w:p w14:paraId="1A2A99AB"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6F55EC1E"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IPPC Trainings</w:t>
            </w:r>
          </w:p>
        </w:tc>
        <w:tc>
          <w:tcPr>
            <w:tcW w:w="3240" w:type="dxa"/>
          </w:tcPr>
          <w:p w14:paraId="4E50212D"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Elaboration of the International Plant Protection Convention (IPPC) modules</w:t>
            </w:r>
          </w:p>
        </w:tc>
        <w:tc>
          <w:tcPr>
            <w:tcW w:w="1248" w:type="dxa"/>
            <w:noWrap/>
          </w:tcPr>
          <w:p w14:paraId="731592F0"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1DB2E7FE"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4 Phytosanitary Department staff</w:t>
            </w:r>
          </w:p>
        </w:tc>
      </w:tr>
      <w:tr w:rsidR="00B9071F" w:rsidRPr="00E53977" w14:paraId="0A573CBE" w14:textId="77777777" w:rsidTr="00FF581B">
        <w:trPr>
          <w:trHeight w:val="20"/>
        </w:trPr>
        <w:tc>
          <w:tcPr>
            <w:tcW w:w="1165" w:type="dxa"/>
            <w:noWrap/>
          </w:tcPr>
          <w:p w14:paraId="45C53F74"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February 22-23, 2017</w:t>
            </w:r>
          </w:p>
        </w:tc>
        <w:tc>
          <w:tcPr>
            <w:tcW w:w="1170" w:type="dxa"/>
            <w:noWrap/>
          </w:tcPr>
          <w:p w14:paraId="3B202DF7"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5C903AFD"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Inception training for Phytosanitary Working Group (PWG)</w:t>
            </w:r>
          </w:p>
        </w:tc>
        <w:tc>
          <w:tcPr>
            <w:tcW w:w="3240" w:type="dxa"/>
          </w:tcPr>
          <w:p w14:paraId="2433E915"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1. Draft version of the Governmental Decree ‘on Protective Measures Against the Introduction of Organisms Harmful to Plants or Plant Products and Against their Spread”.</w:t>
            </w:r>
            <w:r w:rsidRPr="00E53977">
              <w:rPr>
                <w:rFonts w:cs="Times New Roman"/>
                <w:color w:val="000000"/>
                <w:sz w:val="18"/>
                <w:szCs w:val="18"/>
              </w:rPr>
              <w:br/>
              <w:t>2. This draft could be approximated with the Council Directive 2000/29/EC, and a Commission Directive 2004/103/EC.</w:t>
            </w:r>
          </w:p>
        </w:tc>
        <w:tc>
          <w:tcPr>
            <w:tcW w:w="1248" w:type="dxa"/>
            <w:noWrap/>
          </w:tcPr>
          <w:p w14:paraId="7681970E"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648CD86A"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Phytosanitary Department</w:t>
            </w:r>
          </w:p>
        </w:tc>
      </w:tr>
      <w:tr w:rsidR="00B9071F" w:rsidRPr="00E53977" w14:paraId="4EE100FC" w14:textId="77777777" w:rsidTr="00FF581B">
        <w:trPr>
          <w:trHeight w:val="20"/>
        </w:trPr>
        <w:tc>
          <w:tcPr>
            <w:tcW w:w="1165" w:type="dxa"/>
            <w:noWrap/>
          </w:tcPr>
          <w:p w14:paraId="4FC1FD85"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March 14, 2017</w:t>
            </w:r>
          </w:p>
        </w:tc>
        <w:tc>
          <w:tcPr>
            <w:tcW w:w="1170" w:type="dxa"/>
            <w:noWrap/>
          </w:tcPr>
          <w:p w14:paraId="6027AF81"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6D84E00C"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Inception training for Phytosanitary Working Group (PWG)</w:t>
            </w:r>
          </w:p>
        </w:tc>
        <w:tc>
          <w:tcPr>
            <w:tcW w:w="3240" w:type="dxa"/>
          </w:tcPr>
          <w:p w14:paraId="1D9413B0"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Re-evaluating and amending the draft version of the Governmental Decree. </w:t>
            </w:r>
          </w:p>
        </w:tc>
        <w:tc>
          <w:tcPr>
            <w:tcW w:w="1248" w:type="dxa"/>
            <w:noWrap/>
          </w:tcPr>
          <w:p w14:paraId="54C40CFF"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0033661C"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Phytosanitary Department</w:t>
            </w:r>
          </w:p>
        </w:tc>
      </w:tr>
      <w:tr w:rsidR="00B9071F" w:rsidRPr="00E53977" w14:paraId="242CCE60" w14:textId="77777777" w:rsidTr="00FF581B">
        <w:trPr>
          <w:trHeight w:val="20"/>
        </w:trPr>
        <w:tc>
          <w:tcPr>
            <w:tcW w:w="1165" w:type="dxa"/>
            <w:noWrap/>
          </w:tcPr>
          <w:p w14:paraId="28EFA1F6"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June 2017</w:t>
            </w:r>
          </w:p>
        </w:tc>
        <w:tc>
          <w:tcPr>
            <w:tcW w:w="1170" w:type="dxa"/>
            <w:noWrap/>
          </w:tcPr>
          <w:p w14:paraId="0C251723"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Training</w:t>
            </w:r>
          </w:p>
        </w:tc>
        <w:tc>
          <w:tcPr>
            <w:tcW w:w="1350" w:type="dxa"/>
          </w:tcPr>
          <w:p w14:paraId="05F5591C"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Inception training for Phytosanitary Working Group (PWG)</w:t>
            </w:r>
          </w:p>
        </w:tc>
        <w:tc>
          <w:tcPr>
            <w:tcW w:w="3240" w:type="dxa"/>
          </w:tcPr>
          <w:p w14:paraId="30682DE9"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Council directive 93/85/EC as of 4 October 1993 on control of potato ring rot, and conformity assessment of equivalent Georgian legislation </w:t>
            </w:r>
          </w:p>
        </w:tc>
        <w:tc>
          <w:tcPr>
            <w:tcW w:w="1248" w:type="dxa"/>
            <w:noWrap/>
          </w:tcPr>
          <w:p w14:paraId="27B619F7"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100ED5CD"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Phytosanitary Department</w:t>
            </w:r>
          </w:p>
        </w:tc>
      </w:tr>
      <w:tr w:rsidR="00B9071F" w:rsidRPr="00E53977" w14:paraId="1B85CFE2" w14:textId="77777777" w:rsidTr="00FF581B">
        <w:trPr>
          <w:trHeight w:val="20"/>
        </w:trPr>
        <w:tc>
          <w:tcPr>
            <w:tcW w:w="1165" w:type="dxa"/>
            <w:noWrap/>
          </w:tcPr>
          <w:p w14:paraId="65F5F57D"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October 18-19, 2017</w:t>
            </w:r>
          </w:p>
        </w:tc>
        <w:tc>
          <w:tcPr>
            <w:tcW w:w="1170" w:type="dxa"/>
            <w:noWrap/>
          </w:tcPr>
          <w:p w14:paraId="27D7BA97"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Workshop</w:t>
            </w:r>
          </w:p>
        </w:tc>
        <w:tc>
          <w:tcPr>
            <w:tcW w:w="1350" w:type="dxa"/>
          </w:tcPr>
          <w:p w14:paraId="1A1E0834"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NFA/UN-FAO Workshop on National Phytosanitary Capacity Evaluation and Phytosanitary Capacity Development Strategy</w:t>
            </w:r>
          </w:p>
        </w:tc>
        <w:tc>
          <w:tcPr>
            <w:tcW w:w="3240" w:type="dxa"/>
          </w:tcPr>
          <w:p w14:paraId="0D2D6219"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 xml:space="preserve">1. Key findings of phytosanitary capacity evaluation (PCE) were discussed, and priorities and actions were defined. </w:t>
            </w:r>
            <w:r w:rsidRPr="00E53977">
              <w:rPr>
                <w:rFonts w:cs="Times New Roman"/>
                <w:color w:val="000000"/>
                <w:sz w:val="18"/>
                <w:szCs w:val="18"/>
              </w:rPr>
              <w:br/>
              <w:t xml:space="preserve">2. Based on the outcome of this exercise Phytosanitary Capacity Development Strategy was elaborated. </w:t>
            </w:r>
          </w:p>
        </w:tc>
        <w:tc>
          <w:tcPr>
            <w:tcW w:w="1248" w:type="dxa"/>
            <w:noWrap/>
          </w:tcPr>
          <w:p w14:paraId="21191D32"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Tbilisi</w:t>
            </w:r>
          </w:p>
        </w:tc>
        <w:tc>
          <w:tcPr>
            <w:tcW w:w="1542" w:type="dxa"/>
            <w:noWrap/>
          </w:tcPr>
          <w:p w14:paraId="5B81BEE9" w14:textId="77777777" w:rsidR="00B9071F" w:rsidRPr="00E53977" w:rsidRDefault="00B9071F" w:rsidP="002771FB">
            <w:pPr>
              <w:widowControl w:val="0"/>
              <w:spacing w:after="0"/>
              <w:jc w:val="left"/>
              <w:rPr>
                <w:rFonts w:eastAsia="Times New Roman" w:cs="Times New Roman"/>
                <w:color w:val="000000"/>
                <w:sz w:val="18"/>
                <w:szCs w:val="18"/>
              </w:rPr>
            </w:pPr>
            <w:r w:rsidRPr="00E53977">
              <w:rPr>
                <w:rFonts w:cs="Times New Roman"/>
                <w:color w:val="000000"/>
                <w:sz w:val="18"/>
                <w:szCs w:val="18"/>
              </w:rPr>
              <w:t>Phytosanitary Department</w:t>
            </w:r>
          </w:p>
        </w:tc>
      </w:tr>
    </w:tbl>
    <w:p w14:paraId="6F142DA8" w14:textId="77777777" w:rsidR="00091352" w:rsidRPr="00E53977" w:rsidRDefault="00091352" w:rsidP="002771FB">
      <w:bookmarkStart w:id="96" w:name="_Toc508180552"/>
    </w:p>
    <w:p w14:paraId="515C416C" w14:textId="77777777" w:rsidR="00091352" w:rsidRPr="00E53977" w:rsidRDefault="00091352">
      <w:pPr>
        <w:spacing w:after="160"/>
        <w:jc w:val="left"/>
        <w:rPr>
          <w:rFonts w:eastAsiaTheme="majorEastAsia" w:cstheme="minorHAnsi"/>
          <w:b/>
          <w:color w:val="0070C0"/>
          <w:sz w:val="28"/>
          <w:szCs w:val="32"/>
        </w:rPr>
      </w:pPr>
      <w:r w:rsidRPr="00E53977">
        <w:rPr>
          <w:caps/>
        </w:rPr>
        <w:br w:type="page"/>
      </w:r>
    </w:p>
    <w:p w14:paraId="1D5C9D6D" w14:textId="0524E8E7" w:rsidR="00645C2A" w:rsidRPr="00E53977" w:rsidRDefault="00052565" w:rsidP="002771FB">
      <w:pPr>
        <w:pStyle w:val="Heading1"/>
        <w:widowControl w:val="0"/>
      </w:pPr>
      <w:bookmarkStart w:id="97" w:name="_Toc520906388"/>
      <w:r w:rsidRPr="00E53977">
        <w:rPr>
          <w:caps w:val="0"/>
        </w:rPr>
        <w:lastRenderedPageBreak/>
        <w:t>ANNEX 3</w:t>
      </w:r>
      <w:r w:rsidR="009731D3" w:rsidRPr="00E53977">
        <w:rPr>
          <w:caps w:val="0"/>
        </w:rPr>
        <w:t xml:space="preserve">: </w:t>
      </w:r>
      <w:bookmarkEnd w:id="96"/>
      <w:r w:rsidR="009731D3" w:rsidRPr="00E53977">
        <w:rPr>
          <w:caps w:val="0"/>
        </w:rPr>
        <w:t>NFA ACTIVITIES</w:t>
      </w:r>
      <w:bookmarkEnd w:id="97"/>
    </w:p>
    <w:p w14:paraId="408B7705" w14:textId="11FC3FF1" w:rsidR="00B9071F" w:rsidRPr="00E53977" w:rsidRDefault="00CC3C7B" w:rsidP="002771FB">
      <w:pPr>
        <w:widowControl w:val="0"/>
      </w:pPr>
      <w:r w:rsidRPr="00E53977">
        <w:rPr>
          <w:b/>
        </w:rPr>
        <w:t>Food Safety Monitoring Activities in 2017</w:t>
      </w:r>
    </w:p>
    <w:tbl>
      <w:tblPr>
        <w:tblStyle w:val="GridTable1Light1"/>
        <w:tblW w:w="5000" w:type="pct"/>
        <w:tblLayout w:type="fixed"/>
        <w:tblLook w:val="04E0" w:firstRow="1" w:lastRow="1" w:firstColumn="1" w:lastColumn="0" w:noHBand="0" w:noVBand="1"/>
      </w:tblPr>
      <w:tblGrid>
        <w:gridCol w:w="431"/>
        <w:gridCol w:w="1688"/>
        <w:gridCol w:w="2609"/>
        <w:gridCol w:w="842"/>
        <w:gridCol w:w="1048"/>
        <w:gridCol w:w="1244"/>
        <w:gridCol w:w="1154"/>
      </w:tblGrid>
      <w:tr w:rsidR="009173DD" w:rsidRPr="00E53977" w14:paraId="2D66CA8F" w14:textId="77777777" w:rsidTr="00662E7D">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39" w:type="pct"/>
            <w:shd w:val="clear" w:color="auto" w:fill="0070C0"/>
            <w:hideMark/>
          </w:tcPr>
          <w:p w14:paraId="4161CDC3" w14:textId="77777777" w:rsidR="00B9071F" w:rsidRPr="00E53977" w:rsidRDefault="00B9071F" w:rsidP="002771FB">
            <w:pPr>
              <w:widowControl w:val="0"/>
              <w:spacing w:after="0"/>
              <w:ind w:left="-25"/>
              <w:rPr>
                <w:rFonts w:cs="Times New Roman"/>
                <w:color w:val="FFFFFF" w:themeColor="background1"/>
                <w:sz w:val="18"/>
                <w:szCs w:val="18"/>
              </w:rPr>
            </w:pPr>
          </w:p>
        </w:tc>
        <w:tc>
          <w:tcPr>
            <w:tcW w:w="936" w:type="pct"/>
            <w:shd w:val="clear" w:color="auto" w:fill="0070C0"/>
            <w:hideMark/>
          </w:tcPr>
          <w:p w14:paraId="601F8E99" w14:textId="77777777" w:rsidR="00B9071F" w:rsidRPr="00E53977" w:rsidRDefault="00B9071F" w:rsidP="002771FB">
            <w:pPr>
              <w:widowControl w:val="0"/>
              <w:spacing w:after="0"/>
              <w:ind w:left="-25"/>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18"/>
                <w:szCs w:val="18"/>
              </w:rPr>
            </w:pPr>
            <w:r w:rsidRPr="00E53977">
              <w:rPr>
                <w:rFonts w:cs="Times New Roman"/>
                <w:color w:val="FFFFFF" w:themeColor="background1"/>
                <w:sz w:val="18"/>
                <w:szCs w:val="18"/>
              </w:rPr>
              <w:t xml:space="preserve">Profile </w:t>
            </w:r>
          </w:p>
        </w:tc>
        <w:tc>
          <w:tcPr>
            <w:tcW w:w="1447" w:type="pct"/>
            <w:shd w:val="clear" w:color="auto" w:fill="0070C0"/>
            <w:hideMark/>
          </w:tcPr>
          <w:p w14:paraId="35AE7ED7" w14:textId="77777777" w:rsidR="00B9071F" w:rsidRPr="00E53977" w:rsidRDefault="00B9071F" w:rsidP="002771FB">
            <w:pPr>
              <w:widowControl w:val="0"/>
              <w:spacing w:after="0"/>
              <w:ind w:left="-25"/>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18"/>
                <w:szCs w:val="18"/>
              </w:rPr>
            </w:pPr>
            <w:r w:rsidRPr="00E53977">
              <w:rPr>
                <w:rFonts w:cs="Times New Roman"/>
                <w:color w:val="FFFFFF" w:themeColor="background1"/>
                <w:sz w:val="18"/>
                <w:szCs w:val="18"/>
              </w:rPr>
              <w:t xml:space="preserve">Activity </w:t>
            </w:r>
          </w:p>
        </w:tc>
        <w:tc>
          <w:tcPr>
            <w:tcW w:w="467" w:type="pct"/>
            <w:shd w:val="clear" w:color="auto" w:fill="0070C0"/>
            <w:hideMark/>
          </w:tcPr>
          <w:p w14:paraId="0244D03B" w14:textId="77777777" w:rsidR="00B9071F" w:rsidRPr="00E53977" w:rsidRDefault="00B9071F" w:rsidP="002771FB">
            <w:pPr>
              <w:widowControl w:val="0"/>
              <w:spacing w:after="0"/>
              <w:ind w:left="-25" w:right="-112" w:hanging="84"/>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18"/>
                <w:szCs w:val="18"/>
              </w:rPr>
            </w:pPr>
            <w:r w:rsidRPr="00E53977">
              <w:rPr>
                <w:rFonts w:cs="Times New Roman"/>
                <w:color w:val="FFFFFF" w:themeColor="background1"/>
                <w:sz w:val="18"/>
                <w:szCs w:val="18"/>
              </w:rPr>
              <w:t>Scheduled</w:t>
            </w:r>
          </w:p>
        </w:tc>
        <w:tc>
          <w:tcPr>
            <w:tcW w:w="581" w:type="pct"/>
            <w:shd w:val="clear" w:color="auto" w:fill="0070C0"/>
            <w:hideMark/>
          </w:tcPr>
          <w:p w14:paraId="24F51DE9" w14:textId="77777777" w:rsidR="00B9071F" w:rsidRPr="00E53977" w:rsidRDefault="00B9071F" w:rsidP="002771FB">
            <w:pPr>
              <w:widowControl w:val="0"/>
              <w:spacing w:after="0"/>
              <w:ind w:left="-25" w:right="-112" w:hanging="84"/>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18"/>
                <w:szCs w:val="18"/>
              </w:rPr>
            </w:pPr>
            <w:r w:rsidRPr="00E53977">
              <w:rPr>
                <w:rFonts w:cs="Times New Roman"/>
                <w:color w:val="FFFFFF" w:themeColor="background1"/>
                <w:sz w:val="18"/>
                <w:szCs w:val="18"/>
              </w:rPr>
              <w:t>Unscheduled</w:t>
            </w:r>
          </w:p>
        </w:tc>
        <w:tc>
          <w:tcPr>
            <w:tcW w:w="690" w:type="pct"/>
            <w:shd w:val="clear" w:color="auto" w:fill="0070C0"/>
            <w:hideMark/>
          </w:tcPr>
          <w:p w14:paraId="6A892925" w14:textId="77777777" w:rsidR="00B9071F" w:rsidRPr="00E53977" w:rsidRDefault="00B9071F" w:rsidP="002771FB">
            <w:pPr>
              <w:widowControl w:val="0"/>
              <w:spacing w:after="0"/>
              <w:ind w:left="-25" w:right="-112" w:hanging="84"/>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18"/>
                <w:szCs w:val="18"/>
              </w:rPr>
            </w:pPr>
            <w:r w:rsidRPr="00E53977">
              <w:rPr>
                <w:rFonts w:cs="Times New Roman"/>
                <w:color w:val="FFFFFF" w:themeColor="background1"/>
                <w:sz w:val="18"/>
                <w:szCs w:val="18"/>
              </w:rPr>
              <w:t>Acknowledged</w:t>
            </w:r>
          </w:p>
        </w:tc>
        <w:tc>
          <w:tcPr>
            <w:tcW w:w="640" w:type="pct"/>
            <w:shd w:val="clear" w:color="auto" w:fill="0070C0"/>
            <w:hideMark/>
          </w:tcPr>
          <w:p w14:paraId="2AFC5572" w14:textId="77777777" w:rsidR="00B9071F" w:rsidRPr="00E53977" w:rsidRDefault="00B9071F" w:rsidP="002771FB">
            <w:pPr>
              <w:widowControl w:val="0"/>
              <w:spacing w:after="0"/>
              <w:ind w:left="-25" w:right="-112" w:hanging="84"/>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18"/>
                <w:szCs w:val="18"/>
              </w:rPr>
            </w:pPr>
            <w:r w:rsidRPr="00E53977">
              <w:rPr>
                <w:rFonts w:cs="Times New Roman"/>
                <w:color w:val="FFFFFF" w:themeColor="background1"/>
                <w:sz w:val="18"/>
                <w:szCs w:val="18"/>
              </w:rPr>
              <w:t xml:space="preserve">Reinspection </w:t>
            </w:r>
          </w:p>
        </w:tc>
      </w:tr>
      <w:tr w:rsidR="00B9071F" w:rsidRPr="00E53977" w14:paraId="45723C8A" w14:textId="77777777" w:rsidTr="00EC0223">
        <w:tc>
          <w:tcPr>
            <w:cnfStyle w:val="001000000000" w:firstRow="0" w:lastRow="0" w:firstColumn="1" w:lastColumn="0" w:oddVBand="0" w:evenVBand="0" w:oddHBand="0" w:evenHBand="0" w:firstRowFirstColumn="0" w:firstRowLastColumn="0" w:lastRowFirstColumn="0" w:lastRowLastColumn="0"/>
            <w:tcW w:w="239" w:type="pct"/>
            <w:hideMark/>
          </w:tcPr>
          <w:p w14:paraId="5B75A91D"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1</w:t>
            </w:r>
          </w:p>
        </w:tc>
        <w:tc>
          <w:tcPr>
            <w:tcW w:w="936" w:type="pct"/>
            <w:hideMark/>
          </w:tcPr>
          <w:p w14:paraId="4BE59D3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Agrarian market </w:t>
            </w:r>
          </w:p>
        </w:tc>
        <w:tc>
          <w:tcPr>
            <w:tcW w:w="1447" w:type="pct"/>
            <w:hideMark/>
          </w:tcPr>
          <w:p w14:paraId="42CD457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Agrarian market</w:t>
            </w:r>
          </w:p>
        </w:tc>
        <w:tc>
          <w:tcPr>
            <w:tcW w:w="467" w:type="pct"/>
          </w:tcPr>
          <w:p w14:paraId="57EE8AB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62</w:t>
            </w:r>
          </w:p>
        </w:tc>
        <w:tc>
          <w:tcPr>
            <w:tcW w:w="581" w:type="pct"/>
          </w:tcPr>
          <w:p w14:paraId="754CA04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20</w:t>
            </w:r>
          </w:p>
        </w:tc>
        <w:tc>
          <w:tcPr>
            <w:tcW w:w="690" w:type="pct"/>
          </w:tcPr>
          <w:p w14:paraId="17AE22D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E7BFBA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93</w:t>
            </w:r>
          </w:p>
        </w:tc>
      </w:tr>
      <w:tr w:rsidR="00B9071F" w:rsidRPr="00E53977" w14:paraId="2C2B716C"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4A89522C"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2</w:t>
            </w:r>
          </w:p>
        </w:tc>
        <w:tc>
          <w:tcPr>
            <w:tcW w:w="936" w:type="pct"/>
            <w:vMerge w:val="restart"/>
            <w:hideMark/>
          </w:tcPr>
          <w:p w14:paraId="11224C3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Honey production, sale </w:t>
            </w:r>
          </w:p>
        </w:tc>
        <w:tc>
          <w:tcPr>
            <w:tcW w:w="1447" w:type="pct"/>
            <w:hideMark/>
          </w:tcPr>
          <w:p w14:paraId="6BD36300" w14:textId="77777777" w:rsidR="00B9071F" w:rsidRPr="00E53977" w:rsidRDefault="00B9071F" w:rsidP="002771F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Honey production</w:t>
            </w:r>
          </w:p>
        </w:tc>
        <w:tc>
          <w:tcPr>
            <w:tcW w:w="467" w:type="pct"/>
          </w:tcPr>
          <w:p w14:paraId="2789E29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11</w:t>
            </w:r>
          </w:p>
        </w:tc>
        <w:tc>
          <w:tcPr>
            <w:tcW w:w="581" w:type="pct"/>
          </w:tcPr>
          <w:p w14:paraId="6FC6DB2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3AD148C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40" w:type="pct"/>
          </w:tcPr>
          <w:p w14:paraId="09E1880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12</w:t>
            </w:r>
          </w:p>
        </w:tc>
      </w:tr>
      <w:tr w:rsidR="00B9071F" w:rsidRPr="00E53977" w14:paraId="0FF99657"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19AAF4A8"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4E78A241"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04F56D8F"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Sale of honey </w:t>
            </w:r>
          </w:p>
        </w:tc>
        <w:tc>
          <w:tcPr>
            <w:tcW w:w="467" w:type="pct"/>
          </w:tcPr>
          <w:p w14:paraId="5678C78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581" w:type="pct"/>
          </w:tcPr>
          <w:p w14:paraId="728BC2A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76B6C85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D2FDB3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B9071F" w:rsidRPr="00E53977" w14:paraId="6B017D3F"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75093469"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3</w:t>
            </w:r>
          </w:p>
        </w:tc>
        <w:tc>
          <w:tcPr>
            <w:tcW w:w="936" w:type="pct"/>
            <w:vMerge w:val="restart"/>
            <w:hideMark/>
          </w:tcPr>
          <w:p w14:paraId="7D2C91CF"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Fish and fish products </w:t>
            </w:r>
          </w:p>
        </w:tc>
        <w:tc>
          <w:tcPr>
            <w:tcW w:w="1447" w:type="pct"/>
            <w:hideMark/>
          </w:tcPr>
          <w:p w14:paraId="31E2A12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Sale of fish and fish products </w:t>
            </w:r>
          </w:p>
        </w:tc>
        <w:tc>
          <w:tcPr>
            <w:tcW w:w="467" w:type="pct"/>
          </w:tcPr>
          <w:p w14:paraId="5E4DC8E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19</w:t>
            </w:r>
          </w:p>
        </w:tc>
        <w:tc>
          <w:tcPr>
            <w:tcW w:w="581" w:type="pct"/>
          </w:tcPr>
          <w:p w14:paraId="692167C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41968AD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475A371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13</w:t>
            </w:r>
          </w:p>
        </w:tc>
      </w:tr>
      <w:tr w:rsidR="00B9071F" w:rsidRPr="00E53977" w14:paraId="02DBCC41"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332EC3B0"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415FCB3"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7A8C169F" w14:textId="77777777" w:rsidR="00B9071F" w:rsidRPr="00E53977" w:rsidRDefault="00B9071F" w:rsidP="002771FB">
            <w:pPr>
              <w:widowControl w:val="0"/>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Fish smoking enterprise </w:t>
            </w:r>
          </w:p>
        </w:tc>
        <w:tc>
          <w:tcPr>
            <w:tcW w:w="467" w:type="pct"/>
          </w:tcPr>
          <w:p w14:paraId="6B4CC96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12</w:t>
            </w:r>
          </w:p>
        </w:tc>
        <w:tc>
          <w:tcPr>
            <w:tcW w:w="581" w:type="pct"/>
          </w:tcPr>
          <w:p w14:paraId="7BD8113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690" w:type="pct"/>
          </w:tcPr>
          <w:p w14:paraId="2B197B3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12</w:t>
            </w:r>
          </w:p>
        </w:tc>
        <w:tc>
          <w:tcPr>
            <w:tcW w:w="640" w:type="pct"/>
          </w:tcPr>
          <w:p w14:paraId="0B98E02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24</w:t>
            </w:r>
          </w:p>
        </w:tc>
      </w:tr>
      <w:tr w:rsidR="00B9071F" w:rsidRPr="00E53977" w14:paraId="23204E2F"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53780CD"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D55123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43A98FD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of fish and fish products </w:t>
            </w:r>
          </w:p>
        </w:tc>
        <w:tc>
          <w:tcPr>
            <w:tcW w:w="467" w:type="pct"/>
          </w:tcPr>
          <w:p w14:paraId="5B010C1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w:t>
            </w:r>
          </w:p>
        </w:tc>
        <w:tc>
          <w:tcPr>
            <w:tcW w:w="581" w:type="pct"/>
          </w:tcPr>
          <w:p w14:paraId="5239C36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w:t>
            </w:r>
          </w:p>
        </w:tc>
        <w:tc>
          <w:tcPr>
            <w:tcW w:w="690" w:type="pct"/>
          </w:tcPr>
          <w:p w14:paraId="0D09C8E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12</w:t>
            </w:r>
          </w:p>
        </w:tc>
        <w:tc>
          <w:tcPr>
            <w:tcW w:w="640" w:type="pct"/>
          </w:tcPr>
          <w:p w14:paraId="4B6CAC7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16</w:t>
            </w:r>
          </w:p>
        </w:tc>
      </w:tr>
      <w:tr w:rsidR="00B9071F" w:rsidRPr="00E53977" w14:paraId="029C1FD0"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29642077"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013E425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4C838D3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Fishing boat</w:t>
            </w:r>
          </w:p>
        </w:tc>
        <w:tc>
          <w:tcPr>
            <w:tcW w:w="467" w:type="pct"/>
          </w:tcPr>
          <w:p w14:paraId="6DCC9A9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5D539FF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6C2BE1F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6A881BB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47C41C56"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3A7D2A5B"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4</w:t>
            </w:r>
          </w:p>
        </w:tc>
        <w:tc>
          <w:tcPr>
            <w:tcW w:w="936" w:type="pct"/>
            <w:vMerge w:val="restart"/>
            <w:hideMark/>
          </w:tcPr>
          <w:p w14:paraId="6ECEBCF3" w14:textId="152DB9CD"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Processing of walnut, hazelnut, sunflower and similar thereof;</w:t>
            </w:r>
            <w:r w:rsidR="00AB6B2F" w:rsidRPr="00E53977">
              <w:rPr>
                <w:rFonts w:eastAsia="Times New Roman" w:cs="Times New Roman"/>
                <w:sz w:val="18"/>
                <w:szCs w:val="18"/>
              </w:rPr>
              <w:t xml:space="preserve"> </w:t>
            </w:r>
          </w:p>
        </w:tc>
        <w:tc>
          <w:tcPr>
            <w:tcW w:w="1447" w:type="pct"/>
            <w:hideMark/>
          </w:tcPr>
          <w:p w14:paraId="0C33A99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Processing of different types of hazelnut </w:t>
            </w:r>
          </w:p>
        </w:tc>
        <w:tc>
          <w:tcPr>
            <w:tcW w:w="467" w:type="pct"/>
          </w:tcPr>
          <w:p w14:paraId="34FDF4A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40</w:t>
            </w:r>
          </w:p>
        </w:tc>
        <w:tc>
          <w:tcPr>
            <w:tcW w:w="581" w:type="pct"/>
          </w:tcPr>
          <w:p w14:paraId="0DA05D2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w:t>
            </w:r>
          </w:p>
        </w:tc>
        <w:tc>
          <w:tcPr>
            <w:tcW w:w="690" w:type="pct"/>
          </w:tcPr>
          <w:p w14:paraId="5C216B0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91362D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r>
      <w:tr w:rsidR="00B9071F" w:rsidRPr="00E53977" w14:paraId="70354A74"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97FF299"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4C8AABE0"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7EF0977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Sunflower processing </w:t>
            </w:r>
          </w:p>
        </w:tc>
        <w:tc>
          <w:tcPr>
            <w:tcW w:w="467" w:type="pct"/>
          </w:tcPr>
          <w:p w14:paraId="6EEFFAC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581" w:type="pct"/>
          </w:tcPr>
          <w:p w14:paraId="0773E3C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03F63A8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182F78A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10B573B4"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7763A87"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DB0269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09C4FE4B" w14:textId="163D9842"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Walnut processing</w:t>
            </w:r>
            <w:r w:rsidR="00AB6B2F" w:rsidRPr="00E53977">
              <w:rPr>
                <w:rFonts w:eastAsia="Times New Roman" w:cs="Times New Roman"/>
                <w:sz w:val="18"/>
                <w:szCs w:val="18"/>
              </w:rPr>
              <w:t xml:space="preserve"> </w:t>
            </w:r>
          </w:p>
        </w:tc>
        <w:tc>
          <w:tcPr>
            <w:tcW w:w="467" w:type="pct"/>
          </w:tcPr>
          <w:p w14:paraId="655C46C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20134D3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1F859DB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6400E09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73345D7B" w14:textId="77777777" w:rsidTr="00EC0223">
        <w:tc>
          <w:tcPr>
            <w:cnfStyle w:val="001000000000" w:firstRow="0" w:lastRow="0" w:firstColumn="1" w:lastColumn="0" w:oddVBand="0" w:evenVBand="0" w:oddHBand="0" w:evenHBand="0" w:firstRowFirstColumn="0" w:firstRowLastColumn="0" w:lastRowFirstColumn="0" w:lastRowLastColumn="0"/>
            <w:tcW w:w="239" w:type="pct"/>
            <w:hideMark/>
          </w:tcPr>
          <w:p w14:paraId="1C246841"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5</w:t>
            </w:r>
          </w:p>
        </w:tc>
        <w:tc>
          <w:tcPr>
            <w:tcW w:w="936" w:type="pct"/>
            <w:hideMark/>
          </w:tcPr>
          <w:p w14:paraId="3BC0515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Packaging and sorting of food products </w:t>
            </w:r>
          </w:p>
        </w:tc>
        <w:tc>
          <w:tcPr>
            <w:tcW w:w="1447" w:type="pct"/>
            <w:hideMark/>
          </w:tcPr>
          <w:p w14:paraId="5BFE4F20" w14:textId="5406EAF3"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Packaging, sorting of food products</w:t>
            </w:r>
            <w:r w:rsidR="00AB6B2F" w:rsidRPr="00E53977">
              <w:rPr>
                <w:rFonts w:eastAsia="Times New Roman" w:cs="Times New Roman"/>
                <w:sz w:val="18"/>
                <w:szCs w:val="18"/>
              </w:rPr>
              <w:t xml:space="preserve"> </w:t>
            </w:r>
          </w:p>
        </w:tc>
        <w:tc>
          <w:tcPr>
            <w:tcW w:w="467" w:type="pct"/>
          </w:tcPr>
          <w:p w14:paraId="462E5F8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7C12D2B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690" w:type="pct"/>
          </w:tcPr>
          <w:p w14:paraId="792BBF0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1E4C611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B9071F" w:rsidRPr="00E53977" w14:paraId="197D2604"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3AF31A24"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6</w:t>
            </w:r>
          </w:p>
        </w:tc>
        <w:tc>
          <w:tcPr>
            <w:tcW w:w="936" w:type="pct"/>
            <w:vMerge w:val="restart"/>
            <w:hideMark/>
          </w:tcPr>
          <w:p w14:paraId="1B3EA4A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Vegetable oil production </w:t>
            </w:r>
          </w:p>
        </w:tc>
        <w:tc>
          <w:tcPr>
            <w:tcW w:w="1447" w:type="pct"/>
            <w:hideMark/>
          </w:tcPr>
          <w:p w14:paraId="4D3E8E40"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Oil production </w:t>
            </w:r>
          </w:p>
        </w:tc>
        <w:tc>
          <w:tcPr>
            <w:tcW w:w="467" w:type="pct"/>
          </w:tcPr>
          <w:p w14:paraId="73E41E5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116BE6F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7387530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298975E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248D574E"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71282E08"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D7AED2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5FE8E1EF"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Mayonnaise production</w:t>
            </w:r>
          </w:p>
        </w:tc>
        <w:tc>
          <w:tcPr>
            <w:tcW w:w="467" w:type="pct"/>
          </w:tcPr>
          <w:p w14:paraId="043075D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581" w:type="pct"/>
          </w:tcPr>
          <w:p w14:paraId="5224FDF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7030A0A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1491483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B9071F" w:rsidRPr="00E53977" w14:paraId="57A65165"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D5B0A93"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08B18EEF"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1EC51F0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Margarine production</w:t>
            </w:r>
          </w:p>
        </w:tc>
        <w:tc>
          <w:tcPr>
            <w:tcW w:w="467" w:type="pct"/>
          </w:tcPr>
          <w:p w14:paraId="0B43E58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581" w:type="pct"/>
          </w:tcPr>
          <w:p w14:paraId="46C81B7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05D1A3E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688C2C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w:t>
            </w:r>
          </w:p>
        </w:tc>
      </w:tr>
      <w:tr w:rsidR="00B9071F" w:rsidRPr="00E53977" w14:paraId="5E3FA455"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228D737F"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7</w:t>
            </w:r>
          </w:p>
        </w:tc>
        <w:tc>
          <w:tcPr>
            <w:tcW w:w="936" w:type="pct"/>
            <w:vMerge w:val="restart"/>
            <w:hideMark/>
          </w:tcPr>
          <w:p w14:paraId="2794A6E1"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 Production of semi-finished products</w:t>
            </w:r>
          </w:p>
        </w:tc>
        <w:tc>
          <w:tcPr>
            <w:tcW w:w="1447" w:type="pct"/>
            <w:hideMark/>
          </w:tcPr>
          <w:p w14:paraId="0CD2D41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of semi-finished products </w:t>
            </w:r>
          </w:p>
        </w:tc>
        <w:tc>
          <w:tcPr>
            <w:tcW w:w="467" w:type="pct"/>
          </w:tcPr>
          <w:p w14:paraId="0F20363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34</w:t>
            </w:r>
          </w:p>
        </w:tc>
        <w:tc>
          <w:tcPr>
            <w:tcW w:w="581" w:type="pct"/>
          </w:tcPr>
          <w:p w14:paraId="61CD12C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11</w:t>
            </w:r>
          </w:p>
        </w:tc>
        <w:tc>
          <w:tcPr>
            <w:tcW w:w="690" w:type="pct"/>
          </w:tcPr>
          <w:p w14:paraId="13574A7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34</w:t>
            </w:r>
          </w:p>
        </w:tc>
        <w:tc>
          <w:tcPr>
            <w:tcW w:w="640" w:type="pct"/>
          </w:tcPr>
          <w:p w14:paraId="16D0AB1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60</w:t>
            </w:r>
          </w:p>
        </w:tc>
      </w:tr>
      <w:tr w:rsidR="00B9071F" w:rsidRPr="00E53977" w14:paraId="7B0369C1"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A904611"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BDCD750"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023CE970"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Sale of semi-finished products </w:t>
            </w:r>
          </w:p>
        </w:tc>
        <w:tc>
          <w:tcPr>
            <w:tcW w:w="467" w:type="pct"/>
          </w:tcPr>
          <w:p w14:paraId="75D42B3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581" w:type="pct"/>
          </w:tcPr>
          <w:p w14:paraId="678A489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90" w:type="pct"/>
          </w:tcPr>
          <w:p w14:paraId="3F101D4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684004C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B9071F" w:rsidRPr="00E53977" w14:paraId="6D50C9E4"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CFD04CD"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1AE17B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ECFDEB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and sale of semi-finished products </w:t>
            </w:r>
          </w:p>
        </w:tc>
        <w:tc>
          <w:tcPr>
            <w:tcW w:w="467" w:type="pct"/>
          </w:tcPr>
          <w:p w14:paraId="77A0885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13</w:t>
            </w:r>
          </w:p>
        </w:tc>
        <w:tc>
          <w:tcPr>
            <w:tcW w:w="581" w:type="pct"/>
          </w:tcPr>
          <w:p w14:paraId="649A8A3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w:t>
            </w:r>
          </w:p>
        </w:tc>
        <w:tc>
          <w:tcPr>
            <w:tcW w:w="690" w:type="pct"/>
          </w:tcPr>
          <w:p w14:paraId="17B4D39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29</w:t>
            </w:r>
          </w:p>
        </w:tc>
        <w:tc>
          <w:tcPr>
            <w:tcW w:w="640" w:type="pct"/>
          </w:tcPr>
          <w:p w14:paraId="0F272F5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72</w:t>
            </w:r>
          </w:p>
        </w:tc>
      </w:tr>
      <w:tr w:rsidR="00B9071F" w:rsidRPr="00E53977" w14:paraId="30F41BBE"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4F5E1821"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8</w:t>
            </w:r>
          </w:p>
        </w:tc>
        <w:tc>
          <w:tcPr>
            <w:tcW w:w="936" w:type="pct"/>
            <w:vMerge w:val="restart"/>
            <w:hideMark/>
          </w:tcPr>
          <w:p w14:paraId="67D07DD5"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Initial Production </w:t>
            </w:r>
          </w:p>
        </w:tc>
        <w:tc>
          <w:tcPr>
            <w:tcW w:w="1447" w:type="pct"/>
            <w:hideMark/>
          </w:tcPr>
          <w:p w14:paraId="44783809" w14:textId="78D3E0D2"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Production of cereals cultures</w:t>
            </w:r>
            <w:r w:rsidR="00AB6B2F" w:rsidRPr="00E53977">
              <w:rPr>
                <w:rFonts w:cs="Times New Roman"/>
                <w:color w:val="545454"/>
                <w:sz w:val="18"/>
                <w:szCs w:val="18"/>
                <w:shd w:val="clear" w:color="auto" w:fill="FFFFFF"/>
              </w:rPr>
              <w:t xml:space="preserve"> </w:t>
            </w:r>
          </w:p>
        </w:tc>
        <w:tc>
          <w:tcPr>
            <w:tcW w:w="467" w:type="pct"/>
          </w:tcPr>
          <w:p w14:paraId="530A7B1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54205E8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78D6ED4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6858C7C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2779648C"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1FD91FB1"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67A190B5"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C394D91"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rabbit production, hare production</w:t>
            </w:r>
          </w:p>
        </w:tc>
        <w:tc>
          <w:tcPr>
            <w:tcW w:w="467" w:type="pct"/>
          </w:tcPr>
          <w:p w14:paraId="7D61770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1F20796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3BDF067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7607E21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7814273D"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771320C1"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33DC7A6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C50D00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viticulture</w:t>
            </w:r>
          </w:p>
        </w:tc>
        <w:tc>
          <w:tcPr>
            <w:tcW w:w="467" w:type="pct"/>
          </w:tcPr>
          <w:p w14:paraId="3348A99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059F60B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4E4E62A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302AE15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474C7A92"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38323E6E"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A91D1C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4728EA7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plant growing</w:t>
            </w:r>
          </w:p>
        </w:tc>
        <w:tc>
          <w:tcPr>
            <w:tcW w:w="467" w:type="pct"/>
          </w:tcPr>
          <w:p w14:paraId="07B80C7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3AC3B36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00C7809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09DF85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27A54336"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C070006"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398D4A1"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6921CDE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livestock farming</w:t>
            </w:r>
          </w:p>
        </w:tc>
        <w:tc>
          <w:tcPr>
            <w:tcW w:w="467" w:type="pct"/>
          </w:tcPr>
          <w:p w14:paraId="50E5C1B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19460B7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2F32704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3D0944E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37DDF027"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0A103AAC"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BA799F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57CAB5DB" w14:textId="7364E34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poultry breeding, egg production</w:t>
            </w:r>
            <w:r w:rsidR="00AB6B2F" w:rsidRPr="00E53977">
              <w:rPr>
                <w:rFonts w:eastAsia="Times New Roman" w:cs="Times New Roman"/>
                <w:sz w:val="18"/>
                <w:szCs w:val="18"/>
              </w:rPr>
              <w:t xml:space="preserve"> </w:t>
            </w:r>
          </w:p>
        </w:tc>
        <w:tc>
          <w:tcPr>
            <w:tcW w:w="467" w:type="pct"/>
          </w:tcPr>
          <w:p w14:paraId="16AF689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624BBD5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27</w:t>
            </w:r>
          </w:p>
        </w:tc>
        <w:tc>
          <w:tcPr>
            <w:tcW w:w="690" w:type="pct"/>
          </w:tcPr>
          <w:p w14:paraId="0EAADE8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21</w:t>
            </w:r>
          </w:p>
        </w:tc>
        <w:tc>
          <w:tcPr>
            <w:tcW w:w="640" w:type="pct"/>
          </w:tcPr>
          <w:p w14:paraId="4C280F4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56</w:t>
            </w:r>
          </w:p>
        </w:tc>
      </w:tr>
      <w:tr w:rsidR="00B9071F" w:rsidRPr="00E53977" w14:paraId="3A634BE9"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852E334"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EE33653"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6DA818B1"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beekeeping</w:t>
            </w:r>
          </w:p>
        </w:tc>
        <w:tc>
          <w:tcPr>
            <w:tcW w:w="467" w:type="pct"/>
          </w:tcPr>
          <w:p w14:paraId="64C838F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703DF62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141A212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4975770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7A670D0A"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0E640EBA"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F95AA5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1BB3E0D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pig breeding</w:t>
            </w:r>
          </w:p>
        </w:tc>
        <w:tc>
          <w:tcPr>
            <w:tcW w:w="467" w:type="pct"/>
          </w:tcPr>
          <w:p w14:paraId="5EC52B6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4D203C4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68B572C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1400B68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52D2B897"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E6C3B15"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923779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60B0737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sheep production</w:t>
            </w:r>
          </w:p>
        </w:tc>
        <w:tc>
          <w:tcPr>
            <w:tcW w:w="467" w:type="pct"/>
          </w:tcPr>
          <w:p w14:paraId="6C4B57C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21725CA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3B5A69D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169AFC6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37454C74"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79004E45"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BC7AFF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56B67D2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greenhouse farm </w:t>
            </w:r>
          </w:p>
        </w:tc>
        <w:tc>
          <w:tcPr>
            <w:tcW w:w="467" w:type="pct"/>
          </w:tcPr>
          <w:p w14:paraId="31EC4CF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5152372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5A1A208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375E49E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2DE84025"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7892C073"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30EDF277"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37B8E48" w14:textId="007018E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fishing farm,</w:t>
            </w:r>
            <w:r w:rsidR="00AB6B2F" w:rsidRPr="00E53977">
              <w:rPr>
                <w:rFonts w:eastAsia="Times New Roman" w:cs="Times New Roman"/>
                <w:sz w:val="18"/>
                <w:szCs w:val="18"/>
              </w:rPr>
              <w:t xml:space="preserve"> </w:t>
            </w:r>
            <w:r w:rsidRPr="00E53977">
              <w:rPr>
                <w:rFonts w:eastAsia="Times New Roman" w:cs="Times New Roman"/>
                <w:sz w:val="18"/>
                <w:szCs w:val="18"/>
              </w:rPr>
              <w:t>fishing industry</w:t>
            </w:r>
          </w:p>
        </w:tc>
        <w:tc>
          <w:tcPr>
            <w:tcW w:w="467" w:type="pct"/>
          </w:tcPr>
          <w:p w14:paraId="260E2BD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w:t>
            </w:r>
          </w:p>
        </w:tc>
        <w:tc>
          <w:tcPr>
            <w:tcW w:w="581" w:type="pct"/>
          </w:tcPr>
          <w:p w14:paraId="08B475C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w:t>
            </w:r>
          </w:p>
        </w:tc>
        <w:tc>
          <w:tcPr>
            <w:tcW w:w="690" w:type="pct"/>
          </w:tcPr>
          <w:p w14:paraId="0E162BC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3995F4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14</w:t>
            </w:r>
          </w:p>
        </w:tc>
      </w:tr>
      <w:tr w:rsidR="00B9071F" w:rsidRPr="00E53977" w14:paraId="2E77410B"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1F184C3"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697F04F4"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48EDF5D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Farm </w:t>
            </w:r>
          </w:p>
        </w:tc>
        <w:tc>
          <w:tcPr>
            <w:tcW w:w="467" w:type="pct"/>
          </w:tcPr>
          <w:p w14:paraId="6BFDBE0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006F185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41056B5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7F3C91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5336AD7B"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3006FEDD"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76C432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F58BAA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Fruit and vegetable production </w:t>
            </w:r>
          </w:p>
        </w:tc>
        <w:tc>
          <w:tcPr>
            <w:tcW w:w="467" w:type="pct"/>
          </w:tcPr>
          <w:p w14:paraId="79FCAAA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6D2C6FC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5CCA449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6B75B4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477A5F3C"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73AA21F8"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9</w:t>
            </w:r>
          </w:p>
        </w:tc>
        <w:tc>
          <w:tcPr>
            <w:tcW w:w="936" w:type="pct"/>
            <w:vMerge w:val="restart"/>
            <w:hideMark/>
          </w:tcPr>
          <w:p w14:paraId="60E62293"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Bakery products/ Flour products/ Confectionary</w:t>
            </w:r>
          </w:p>
        </w:tc>
        <w:tc>
          <w:tcPr>
            <w:tcW w:w="1447" w:type="pct"/>
            <w:hideMark/>
          </w:tcPr>
          <w:p w14:paraId="77C9486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of flakes </w:t>
            </w:r>
          </w:p>
        </w:tc>
        <w:tc>
          <w:tcPr>
            <w:tcW w:w="467" w:type="pct"/>
          </w:tcPr>
          <w:p w14:paraId="7FEC746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581" w:type="pct"/>
          </w:tcPr>
          <w:p w14:paraId="2D3BA37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90" w:type="pct"/>
          </w:tcPr>
          <w:p w14:paraId="63FAB75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245762E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r>
      <w:tr w:rsidR="00B9071F" w:rsidRPr="00E53977" w14:paraId="7278AA41"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3CA44B6D"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05EE6B25"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691160D" w14:textId="6777FE01"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Production of</w:t>
            </w:r>
            <w:r w:rsidR="00AB6B2F" w:rsidRPr="00E53977">
              <w:rPr>
                <w:rFonts w:eastAsia="Times New Roman" w:cs="Times New Roman"/>
                <w:sz w:val="18"/>
                <w:szCs w:val="18"/>
              </w:rPr>
              <w:t xml:space="preserve"> </w:t>
            </w:r>
            <w:r w:rsidRPr="00E53977">
              <w:rPr>
                <w:rFonts w:eastAsia="Times New Roman" w:cs="Times New Roman"/>
                <w:sz w:val="18"/>
                <w:szCs w:val="18"/>
              </w:rPr>
              <w:t>cereals</w:t>
            </w:r>
            <w:r w:rsidRPr="00E53977">
              <w:rPr>
                <w:rFonts w:cs="Times New Roman"/>
                <w:color w:val="333333"/>
                <w:sz w:val="18"/>
                <w:szCs w:val="18"/>
                <w:shd w:val="clear" w:color="auto" w:fill="FFFFFF"/>
              </w:rPr>
              <w:t> </w:t>
            </w:r>
          </w:p>
        </w:tc>
        <w:tc>
          <w:tcPr>
            <w:tcW w:w="467" w:type="pct"/>
          </w:tcPr>
          <w:p w14:paraId="2707BFA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581" w:type="pct"/>
          </w:tcPr>
          <w:p w14:paraId="6F4F1AD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48C683E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2BEF2E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5A7F07F7"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1A287DDF"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E71A0F7"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0838EC1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Sale of crops, flour </w:t>
            </w:r>
          </w:p>
        </w:tc>
        <w:tc>
          <w:tcPr>
            <w:tcW w:w="467" w:type="pct"/>
          </w:tcPr>
          <w:p w14:paraId="0AC6D9D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12</w:t>
            </w:r>
          </w:p>
        </w:tc>
        <w:tc>
          <w:tcPr>
            <w:tcW w:w="581" w:type="pct"/>
          </w:tcPr>
          <w:p w14:paraId="09A00DF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90" w:type="pct"/>
          </w:tcPr>
          <w:p w14:paraId="5C45403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67BD0BE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22</w:t>
            </w:r>
          </w:p>
        </w:tc>
      </w:tr>
      <w:tr w:rsidR="00B9071F" w:rsidRPr="00E53977" w14:paraId="2C4B4B25"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6618784"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698A54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590A465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Bread distribution </w:t>
            </w:r>
          </w:p>
        </w:tc>
        <w:tc>
          <w:tcPr>
            <w:tcW w:w="467" w:type="pct"/>
          </w:tcPr>
          <w:p w14:paraId="7A39BA5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13AE9F0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2D17C07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33F3E7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3B9A3237"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F8E98F8"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C8F3A5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1DBEB437"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Bread bakery, “Tone”</w:t>
            </w:r>
          </w:p>
        </w:tc>
        <w:tc>
          <w:tcPr>
            <w:tcW w:w="467" w:type="pct"/>
          </w:tcPr>
          <w:p w14:paraId="38145EE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249</w:t>
            </w:r>
          </w:p>
        </w:tc>
        <w:tc>
          <w:tcPr>
            <w:tcW w:w="581" w:type="pct"/>
          </w:tcPr>
          <w:p w14:paraId="00896AE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27</w:t>
            </w:r>
          </w:p>
        </w:tc>
        <w:tc>
          <w:tcPr>
            <w:tcW w:w="690" w:type="pct"/>
          </w:tcPr>
          <w:p w14:paraId="32D624F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C54C86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244</w:t>
            </w:r>
          </w:p>
        </w:tc>
      </w:tr>
      <w:tr w:rsidR="00B9071F" w:rsidRPr="00E53977" w14:paraId="50106476"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258528B8"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0077F24A"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1496B363"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Trading in bakery products </w:t>
            </w:r>
          </w:p>
        </w:tc>
        <w:tc>
          <w:tcPr>
            <w:tcW w:w="467" w:type="pct"/>
          </w:tcPr>
          <w:p w14:paraId="746CA0C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w:t>
            </w:r>
          </w:p>
        </w:tc>
        <w:tc>
          <w:tcPr>
            <w:tcW w:w="581" w:type="pct"/>
          </w:tcPr>
          <w:p w14:paraId="0660C00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690" w:type="pct"/>
          </w:tcPr>
          <w:p w14:paraId="48B3CAF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347D902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w:t>
            </w:r>
          </w:p>
        </w:tc>
      </w:tr>
      <w:tr w:rsidR="00B9071F" w:rsidRPr="00E53977" w14:paraId="47533A07"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1FEAEE77"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2CB1EC7"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15688014"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Confectionary production, Chocolate production </w:t>
            </w:r>
          </w:p>
        </w:tc>
        <w:tc>
          <w:tcPr>
            <w:tcW w:w="467" w:type="pct"/>
          </w:tcPr>
          <w:p w14:paraId="6506333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82</w:t>
            </w:r>
          </w:p>
        </w:tc>
        <w:tc>
          <w:tcPr>
            <w:tcW w:w="581" w:type="pct"/>
          </w:tcPr>
          <w:p w14:paraId="39E6B3E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21</w:t>
            </w:r>
          </w:p>
        </w:tc>
        <w:tc>
          <w:tcPr>
            <w:tcW w:w="690" w:type="pct"/>
          </w:tcPr>
          <w:p w14:paraId="6291256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75548A8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78</w:t>
            </w:r>
          </w:p>
        </w:tc>
      </w:tr>
      <w:tr w:rsidR="00B9071F" w:rsidRPr="00E53977" w14:paraId="2AD4C2E2"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EE6086A"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39DDBD9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0ABF706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Baker's shop</w:t>
            </w:r>
          </w:p>
        </w:tc>
        <w:tc>
          <w:tcPr>
            <w:tcW w:w="467" w:type="pct"/>
          </w:tcPr>
          <w:p w14:paraId="6D48B0E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219</w:t>
            </w:r>
          </w:p>
        </w:tc>
        <w:tc>
          <w:tcPr>
            <w:tcW w:w="581" w:type="pct"/>
          </w:tcPr>
          <w:p w14:paraId="18B78DA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16</w:t>
            </w:r>
          </w:p>
        </w:tc>
        <w:tc>
          <w:tcPr>
            <w:tcW w:w="690" w:type="pct"/>
          </w:tcPr>
          <w:p w14:paraId="54C2CDC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05D6AB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179</w:t>
            </w:r>
          </w:p>
        </w:tc>
      </w:tr>
      <w:tr w:rsidR="00B9071F" w:rsidRPr="00E53977" w14:paraId="5E3CABEF"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3F4512FF"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57F691A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93DDB41"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Khachapuri bakery </w:t>
            </w:r>
          </w:p>
        </w:tc>
        <w:tc>
          <w:tcPr>
            <w:tcW w:w="467" w:type="pct"/>
          </w:tcPr>
          <w:p w14:paraId="4511199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36</w:t>
            </w:r>
          </w:p>
        </w:tc>
        <w:tc>
          <w:tcPr>
            <w:tcW w:w="581" w:type="pct"/>
          </w:tcPr>
          <w:p w14:paraId="3C0E980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90" w:type="pct"/>
          </w:tcPr>
          <w:p w14:paraId="16EC3CC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7FE3B8F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35</w:t>
            </w:r>
          </w:p>
        </w:tc>
      </w:tr>
      <w:tr w:rsidR="00B9071F" w:rsidRPr="00E53977" w14:paraId="14C4496E"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89CCA90"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213CEE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1CF45C0A"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of flour, flour products and cereals </w:t>
            </w:r>
          </w:p>
        </w:tc>
        <w:tc>
          <w:tcPr>
            <w:tcW w:w="467" w:type="pct"/>
          </w:tcPr>
          <w:p w14:paraId="657BBE5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15</w:t>
            </w:r>
          </w:p>
        </w:tc>
        <w:tc>
          <w:tcPr>
            <w:tcW w:w="581" w:type="pct"/>
          </w:tcPr>
          <w:p w14:paraId="574270E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11</w:t>
            </w:r>
          </w:p>
        </w:tc>
        <w:tc>
          <w:tcPr>
            <w:tcW w:w="690" w:type="pct"/>
          </w:tcPr>
          <w:p w14:paraId="2AF2A24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3947DBB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19</w:t>
            </w:r>
          </w:p>
        </w:tc>
      </w:tr>
      <w:tr w:rsidR="00B9071F" w:rsidRPr="00E53977" w14:paraId="0277EBB1"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941CDE9"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C855263"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1B68BA4"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Mill </w:t>
            </w:r>
          </w:p>
        </w:tc>
        <w:tc>
          <w:tcPr>
            <w:tcW w:w="467" w:type="pct"/>
          </w:tcPr>
          <w:p w14:paraId="7317C6C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9</w:t>
            </w:r>
          </w:p>
        </w:tc>
        <w:tc>
          <w:tcPr>
            <w:tcW w:w="581" w:type="pct"/>
          </w:tcPr>
          <w:p w14:paraId="7232977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10</w:t>
            </w:r>
          </w:p>
        </w:tc>
        <w:tc>
          <w:tcPr>
            <w:tcW w:w="690" w:type="pct"/>
          </w:tcPr>
          <w:p w14:paraId="19E986C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2EE42BF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17</w:t>
            </w:r>
          </w:p>
        </w:tc>
      </w:tr>
      <w:tr w:rsidR="00B9071F" w:rsidRPr="00E53977" w14:paraId="3DD6BEB4"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4D999EEC"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10</w:t>
            </w:r>
          </w:p>
        </w:tc>
        <w:tc>
          <w:tcPr>
            <w:tcW w:w="936" w:type="pct"/>
            <w:vMerge w:val="restart"/>
            <w:hideMark/>
          </w:tcPr>
          <w:p w14:paraId="1972915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Milk and Milk products </w:t>
            </w:r>
          </w:p>
        </w:tc>
        <w:tc>
          <w:tcPr>
            <w:tcW w:w="1447" w:type="pct"/>
            <w:hideMark/>
          </w:tcPr>
          <w:p w14:paraId="5B3F6E2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Baby food – sale </w:t>
            </w:r>
          </w:p>
        </w:tc>
        <w:tc>
          <w:tcPr>
            <w:tcW w:w="467" w:type="pct"/>
          </w:tcPr>
          <w:p w14:paraId="2B71D86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498812D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690" w:type="pct"/>
          </w:tcPr>
          <w:p w14:paraId="044825D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EDF76A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362EF54D"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725ECC6A"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39D4F43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9A9EFF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Butter </w:t>
            </w:r>
          </w:p>
        </w:tc>
        <w:tc>
          <w:tcPr>
            <w:tcW w:w="467" w:type="pct"/>
          </w:tcPr>
          <w:p w14:paraId="4767DEF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581" w:type="pct"/>
          </w:tcPr>
          <w:p w14:paraId="76E0F2A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2ECA03D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1701ABF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r>
      <w:tr w:rsidR="00B9071F" w:rsidRPr="00E53977" w14:paraId="6841B9DA"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2856B41"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370861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5ED5D6C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Ice-cream </w:t>
            </w:r>
          </w:p>
        </w:tc>
        <w:tc>
          <w:tcPr>
            <w:tcW w:w="467" w:type="pct"/>
          </w:tcPr>
          <w:p w14:paraId="4C9DA51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8</w:t>
            </w:r>
          </w:p>
        </w:tc>
        <w:tc>
          <w:tcPr>
            <w:tcW w:w="581" w:type="pct"/>
          </w:tcPr>
          <w:p w14:paraId="56D3A63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690" w:type="pct"/>
          </w:tcPr>
          <w:p w14:paraId="109D838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640" w:type="pct"/>
          </w:tcPr>
          <w:p w14:paraId="05CB6DD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18</w:t>
            </w:r>
          </w:p>
        </w:tc>
      </w:tr>
      <w:tr w:rsidR="00B9071F" w:rsidRPr="00E53977" w14:paraId="1A84B8CC"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3C83DDDA"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9E2BF20"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7ACAFAA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Trading in milk and milk products </w:t>
            </w:r>
          </w:p>
        </w:tc>
        <w:tc>
          <w:tcPr>
            <w:tcW w:w="467" w:type="pct"/>
          </w:tcPr>
          <w:p w14:paraId="57FFA6B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11</w:t>
            </w:r>
          </w:p>
        </w:tc>
        <w:tc>
          <w:tcPr>
            <w:tcW w:w="581" w:type="pct"/>
          </w:tcPr>
          <w:p w14:paraId="05AAF19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690" w:type="pct"/>
          </w:tcPr>
          <w:p w14:paraId="0A02785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1BD020B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8</w:t>
            </w:r>
          </w:p>
        </w:tc>
      </w:tr>
      <w:tr w:rsidR="00B9071F" w:rsidRPr="00E53977" w14:paraId="509B8926"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70B21E2F"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C3CD420"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44A2D4E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milk collection point </w:t>
            </w:r>
          </w:p>
        </w:tc>
        <w:tc>
          <w:tcPr>
            <w:tcW w:w="467" w:type="pct"/>
          </w:tcPr>
          <w:p w14:paraId="35CF40F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581" w:type="pct"/>
          </w:tcPr>
          <w:p w14:paraId="6AFC3EC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w:t>
            </w:r>
          </w:p>
        </w:tc>
        <w:tc>
          <w:tcPr>
            <w:tcW w:w="690" w:type="pct"/>
          </w:tcPr>
          <w:p w14:paraId="6A00A26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640" w:type="pct"/>
          </w:tcPr>
          <w:p w14:paraId="3563CC2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w:t>
            </w:r>
          </w:p>
        </w:tc>
      </w:tr>
      <w:tr w:rsidR="00B9071F" w:rsidRPr="00E53977" w14:paraId="0DDA995E"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79E94B3F"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05F8A4E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EDBE773"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Production of milk and milk products</w:t>
            </w:r>
          </w:p>
        </w:tc>
        <w:tc>
          <w:tcPr>
            <w:tcW w:w="467" w:type="pct"/>
          </w:tcPr>
          <w:p w14:paraId="454AE7F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34</w:t>
            </w:r>
          </w:p>
        </w:tc>
        <w:tc>
          <w:tcPr>
            <w:tcW w:w="581" w:type="pct"/>
          </w:tcPr>
          <w:p w14:paraId="65B1C99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27</w:t>
            </w:r>
          </w:p>
        </w:tc>
        <w:tc>
          <w:tcPr>
            <w:tcW w:w="690" w:type="pct"/>
          </w:tcPr>
          <w:p w14:paraId="709098E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35</w:t>
            </w:r>
          </w:p>
        </w:tc>
        <w:tc>
          <w:tcPr>
            <w:tcW w:w="640" w:type="pct"/>
          </w:tcPr>
          <w:p w14:paraId="76469BF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98</w:t>
            </w:r>
          </w:p>
        </w:tc>
      </w:tr>
      <w:tr w:rsidR="00B9071F" w:rsidRPr="00E53977" w14:paraId="609ACB5B"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163A7302"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5B5ACE9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45B57AC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Cheese </w:t>
            </w:r>
          </w:p>
        </w:tc>
        <w:tc>
          <w:tcPr>
            <w:tcW w:w="467" w:type="pct"/>
          </w:tcPr>
          <w:p w14:paraId="5E334BE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42</w:t>
            </w:r>
          </w:p>
        </w:tc>
        <w:tc>
          <w:tcPr>
            <w:tcW w:w="581" w:type="pct"/>
          </w:tcPr>
          <w:p w14:paraId="70F2C3B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w:t>
            </w:r>
          </w:p>
        </w:tc>
        <w:tc>
          <w:tcPr>
            <w:tcW w:w="690" w:type="pct"/>
          </w:tcPr>
          <w:p w14:paraId="2C4A25A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24</w:t>
            </w:r>
          </w:p>
        </w:tc>
        <w:tc>
          <w:tcPr>
            <w:tcW w:w="640" w:type="pct"/>
          </w:tcPr>
          <w:p w14:paraId="3394700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55</w:t>
            </w:r>
          </w:p>
        </w:tc>
      </w:tr>
      <w:tr w:rsidR="00B9071F" w:rsidRPr="00E53977" w14:paraId="1367827E"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2D7843D7"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9CF6A84"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5363ADF"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Baby food – production </w:t>
            </w:r>
          </w:p>
        </w:tc>
        <w:tc>
          <w:tcPr>
            <w:tcW w:w="467" w:type="pct"/>
          </w:tcPr>
          <w:p w14:paraId="2C7D4CA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581" w:type="pct"/>
          </w:tcPr>
          <w:p w14:paraId="5DF2CC7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469A6EE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2D9DA24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B9071F" w:rsidRPr="00E53977" w14:paraId="58DD05AA"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0505E98E"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4EDD8E87"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4B1B5C0"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Thermal processing of raw milk </w:t>
            </w:r>
          </w:p>
        </w:tc>
        <w:tc>
          <w:tcPr>
            <w:tcW w:w="467" w:type="pct"/>
          </w:tcPr>
          <w:p w14:paraId="50963F0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w:t>
            </w:r>
          </w:p>
        </w:tc>
        <w:tc>
          <w:tcPr>
            <w:tcW w:w="581" w:type="pct"/>
          </w:tcPr>
          <w:p w14:paraId="2EFC8C7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w:t>
            </w:r>
          </w:p>
        </w:tc>
        <w:tc>
          <w:tcPr>
            <w:tcW w:w="690" w:type="pct"/>
          </w:tcPr>
          <w:p w14:paraId="29A58F6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w:t>
            </w:r>
          </w:p>
        </w:tc>
        <w:tc>
          <w:tcPr>
            <w:tcW w:w="640" w:type="pct"/>
          </w:tcPr>
          <w:p w14:paraId="4F7BBBB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13</w:t>
            </w:r>
          </w:p>
        </w:tc>
      </w:tr>
      <w:tr w:rsidR="00B9071F" w:rsidRPr="00E53977" w14:paraId="6A29E5C7"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322F2EB7"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11</w:t>
            </w:r>
          </w:p>
        </w:tc>
        <w:tc>
          <w:tcPr>
            <w:tcW w:w="936" w:type="pct"/>
            <w:vMerge w:val="restart"/>
            <w:hideMark/>
          </w:tcPr>
          <w:p w14:paraId="571FE1C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Public Catering Facilities </w:t>
            </w:r>
          </w:p>
        </w:tc>
        <w:tc>
          <w:tcPr>
            <w:tcW w:w="1447" w:type="pct"/>
            <w:hideMark/>
          </w:tcPr>
          <w:p w14:paraId="7D26153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Kids Entertainment Centers </w:t>
            </w:r>
          </w:p>
        </w:tc>
        <w:tc>
          <w:tcPr>
            <w:tcW w:w="467" w:type="pct"/>
          </w:tcPr>
          <w:p w14:paraId="3909C5F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8</w:t>
            </w:r>
          </w:p>
        </w:tc>
        <w:tc>
          <w:tcPr>
            <w:tcW w:w="581" w:type="pct"/>
          </w:tcPr>
          <w:p w14:paraId="46FC517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90" w:type="pct"/>
          </w:tcPr>
          <w:p w14:paraId="58CF5AE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25DEA9E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12</w:t>
            </w:r>
          </w:p>
        </w:tc>
      </w:tr>
      <w:tr w:rsidR="00B9071F" w:rsidRPr="00E53977" w14:paraId="7D29D6D0"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6460E6B9"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480227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72B7389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buffet</w:t>
            </w:r>
          </w:p>
        </w:tc>
        <w:tc>
          <w:tcPr>
            <w:tcW w:w="467" w:type="pct"/>
          </w:tcPr>
          <w:p w14:paraId="7A02374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w:t>
            </w:r>
          </w:p>
        </w:tc>
        <w:tc>
          <w:tcPr>
            <w:tcW w:w="581" w:type="pct"/>
          </w:tcPr>
          <w:p w14:paraId="421014A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7DF4635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2393EE4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w:t>
            </w:r>
          </w:p>
        </w:tc>
      </w:tr>
      <w:tr w:rsidR="00B9071F" w:rsidRPr="00E53977" w14:paraId="0619D8A3"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922D768"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58AE95B5"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CB2344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Café-Bar, restaurant</w:t>
            </w:r>
          </w:p>
        </w:tc>
        <w:tc>
          <w:tcPr>
            <w:tcW w:w="467" w:type="pct"/>
          </w:tcPr>
          <w:p w14:paraId="1B8CFE8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562</w:t>
            </w:r>
          </w:p>
        </w:tc>
        <w:tc>
          <w:tcPr>
            <w:tcW w:w="581" w:type="pct"/>
          </w:tcPr>
          <w:p w14:paraId="0B0D86B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175</w:t>
            </w:r>
          </w:p>
        </w:tc>
        <w:tc>
          <w:tcPr>
            <w:tcW w:w="690" w:type="pct"/>
          </w:tcPr>
          <w:p w14:paraId="20F5F61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16EFBC5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661</w:t>
            </w:r>
          </w:p>
        </w:tc>
      </w:tr>
      <w:tr w:rsidR="00B9071F" w:rsidRPr="00E53977" w14:paraId="6E3235AD"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28989612"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00C1F481"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BCDA2A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Café – Khachapuri Bakery </w:t>
            </w:r>
          </w:p>
        </w:tc>
        <w:tc>
          <w:tcPr>
            <w:tcW w:w="467" w:type="pct"/>
          </w:tcPr>
          <w:p w14:paraId="0AE687F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37</w:t>
            </w:r>
          </w:p>
        </w:tc>
        <w:tc>
          <w:tcPr>
            <w:tcW w:w="581" w:type="pct"/>
          </w:tcPr>
          <w:p w14:paraId="48FAC7C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690" w:type="pct"/>
          </w:tcPr>
          <w:p w14:paraId="57CF634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4A20FA6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26</w:t>
            </w:r>
          </w:p>
        </w:tc>
      </w:tr>
      <w:tr w:rsidR="00B9071F" w:rsidRPr="00E53977" w14:paraId="1980FDF8"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174210E8"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5C8F4CDA"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0084265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Beer Bar </w:t>
            </w:r>
          </w:p>
        </w:tc>
        <w:tc>
          <w:tcPr>
            <w:tcW w:w="467" w:type="pct"/>
          </w:tcPr>
          <w:p w14:paraId="68C03EC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24</w:t>
            </w:r>
          </w:p>
        </w:tc>
        <w:tc>
          <w:tcPr>
            <w:tcW w:w="581" w:type="pct"/>
          </w:tcPr>
          <w:p w14:paraId="3234802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w:t>
            </w:r>
          </w:p>
        </w:tc>
        <w:tc>
          <w:tcPr>
            <w:tcW w:w="690" w:type="pct"/>
          </w:tcPr>
          <w:p w14:paraId="232632A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B716D7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22</w:t>
            </w:r>
          </w:p>
        </w:tc>
      </w:tr>
      <w:tr w:rsidR="00B9071F" w:rsidRPr="00E53977" w14:paraId="2A8681C5"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049BCC1E"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67F25724"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5705DB6A"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and sale of ready-to-eat foods </w:t>
            </w:r>
          </w:p>
        </w:tc>
        <w:tc>
          <w:tcPr>
            <w:tcW w:w="467" w:type="pct"/>
          </w:tcPr>
          <w:p w14:paraId="16BF5B7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21</w:t>
            </w:r>
          </w:p>
        </w:tc>
        <w:tc>
          <w:tcPr>
            <w:tcW w:w="581" w:type="pct"/>
          </w:tcPr>
          <w:p w14:paraId="46246B3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w:t>
            </w:r>
          </w:p>
        </w:tc>
        <w:tc>
          <w:tcPr>
            <w:tcW w:w="690" w:type="pct"/>
          </w:tcPr>
          <w:p w14:paraId="7E31593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640" w:type="pct"/>
          </w:tcPr>
          <w:p w14:paraId="463997E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23</w:t>
            </w:r>
          </w:p>
        </w:tc>
      </w:tr>
      <w:tr w:rsidR="00B9071F" w:rsidRPr="00E53977" w14:paraId="48A796DA"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052D2329"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FAA7F0A"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AD85D61" w14:textId="01584D0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kindergarten</w:t>
            </w:r>
            <w:r w:rsidR="00AB6B2F" w:rsidRPr="00E53977">
              <w:rPr>
                <w:rFonts w:eastAsia="Times New Roman" w:cs="Times New Roman"/>
                <w:sz w:val="18"/>
                <w:szCs w:val="18"/>
              </w:rPr>
              <w:t xml:space="preserve"> </w:t>
            </w:r>
            <w:r w:rsidRPr="00E53977">
              <w:rPr>
                <w:rFonts w:eastAsia="Times New Roman" w:cs="Times New Roman"/>
                <w:sz w:val="18"/>
                <w:szCs w:val="18"/>
              </w:rPr>
              <w:t>buffet</w:t>
            </w:r>
          </w:p>
        </w:tc>
        <w:tc>
          <w:tcPr>
            <w:tcW w:w="467" w:type="pct"/>
          </w:tcPr>
          <w:p w14:paraId="1983154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422</w:t>
            </w:r>
          </w:p>
        </w:tc>
        <w:tc>
          <w:tcPr>
            <w:tcW w:w="581" w:type="pct"/>
          </w:tcPr>
          <w:p w14:paraId="54D4F44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28</w:t>
            </w:r>
          </w:p>
        </w:tc>
        <w:tc>
          <w:tcPr>
            <w:tcW w:w="690" w:type="pct"/>
          </w:tcPr>
          <w:p w14:paraId="08AB2DD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2A097A5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498</w:t>
            </w:r>
          </w:p>
        </w:tc>
      </w:tr>
      <w:tr w:rsidR="00B9071F" w:rsidRPr="00E53977" w14:paraId="2B395614"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6052FFF6"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6B32673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07AF9E6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Banquet Hall </w:t>
            </w:r>
          </w:p>
        </w:tc>
        <w:tc>
          <w:tcPr>
            <w:tcW w:w="467" w:type="pct"/>
          </w:tcPr>
          <w:p w14:paraId="775D7A7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17</w:t>
            </w:r>
          </w:p>
        </w:tc>
        <w:tc>
          <w:tcPr>
            <w:tcW w:w="581" w:type="pct"/>
          </w:tcPr>
          <w:p w14:paraId="582FE9E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690" w:type="pct"/>
          </w:tcPr>
          <w:p w14:paraId="412DA95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FC59D8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15</w:t>
            </w:r>
          </w:p>
        </w:tc>
      </w:tr>
      <w:tr w:rsidR="00B9071F" w:rsidRPr="00E53977" w14:paraId="6FE87BEE"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1A817C7"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38A51751"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07C5917"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ceremonial hall</w:t>
            </w:r>
          </w:p>
        </w:tc>
        <w:tc>
          <w:tcPr>
            <w:tcW w:w="467" w:type="pct"/>
          </w:tcPr>
          <w:p w14:paraId="2D7298F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35</w:t>
            </w:r>
          </w:p>
        </w:tc>
        <w:tc>
          <w:tcPr>
            <w:tcW w:w="581" w:type="pct"/>
          </w:tcPr>
          <w:p w14:paraId="20629B1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90" w:type="pct"/>
          </w:tcPr>
          <w:p w14:paraId="01E3872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10C4FB4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12</w:t>
            </w:r>
          </w:p>
        </w:tc>
      </w:tr>
      <w:tr w:rsidR="00B9071F" w:rsidRPr="00E53977" w14:paraId="73A03BDF"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4E73F97"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67F4D8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0CCD634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Canteen</w:t>
            </w:r>
          </w:p>
        </w:tc>
        <w:tc>
          <w:tcPr>
            <w:tcW w:w="467" w:type="pct"/>
          </w:tcPr>
          <w:p w14:paraId="3E662F6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174</w:t>
            </w:r>
          </w:p>
        </w:tc>
        <w:tc>
          <w:tcPr>
            <w:tcW w:w="581" w:type="pct"/>
          </w:tcPr>
          <w:p w14:paraId="7135340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55</w:t>
            </w:r>
          </w:p>
        </w:tc>
        <w:tc>
          <w:tcPr>
            <w:tcW w:w="690" w:type="pct"/>
          </w:tcPr>
          <w:p w14:paraId="2119871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6B60977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188</w:t>
            </w:r>
          </w:p>
        </w:tc>
      </w:tr>
      <w:tr w:rsidR="00B9071F" w:rsidRPr="00E53977" w14:paraId="50E2A729"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6525D352"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728CD9F"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73654EF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Hotel canteen/kitchen</w:t>
            </w:r>
          </w:p>
        </w:tc>
        <w:tc>
          <w:tcPr>
            <w:tcW w:w="467" w:type="pct"/>
          </w:tcPr>
          <w:p w14:paraId="10940E1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52</w:t>
            </w:r>
          </w:p>
        </w:tc>
        <w:tc>
          <w:tcPr>
            <w:tcW w:w="581" w:type="pct"/>
          </w:tcPr>
          <w:p w14:paraId="1AEC40A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22</w:t>
            </w:r>
          </w:p>
        </w:tc>
        <w:tc>
          <w:tcPr>
            <w:tcW w:w="690" w:type="pct"/>
          </w:tcPr>
          <w:p w14:paraId="7479DD8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235469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47</w:t>
            </w:r>
          </w:p>
        </w:tc>
      </w:tr>
      <w:tr w:rsidR="00B9071F" w:rsidRPr="00E53977" w14:paraId="60AA8DF1"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2233BD98"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35FD37B4"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4E4EB2C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Shawarma point </w:t>
            </w:r>
          </w:p>
        </w:tc>
        <w:tc>
          <w:tcPr>
            <w:tcW w:w="467" w:type="pct"/>
          </w:tcPr>
          <w:p w14:paraId="3C2E6E7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70</w:t>
            </w:r>
          </w:p>
        </w:tc>
        <w:tc>
          <w:tcPr>
            <w:tcW w:w="581" w:type="pct"/>
          </w:tcPr>
          <w:p w14:paraId="5C4FA43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8</w:t>
            </w:r>
          </w:p>
        </w:tc>
        <w:tc>
          <w:tcPr>
            <w:tcW w:w="690" w:type="pct"/>
          </w:tcPr>
          <w:p w14:paraId="765BB08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369080D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58</w:t>
            </w:r>
          </w:p>
        </w:tc>
      </w:tr>
      <w:tr w:rsidR="00B9071F" w:rsidRPr="00E53977" w14:paraId="4D04E727"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0A14435A"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46687D4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19B05BA"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School buffet/kitchen </w:t>
            </w:r>
          </w:p>
        </w:tc>
        <w:tc>
          <w:tcPr>
            <w:tcW w:w="467" w:type="pct"/>
          </w:tcPr>
          <w:p w14:paraId="233790D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247</w:t>
            </w:r>
          </w:p>
        </w:tc>
        <w:tc>
          <w:tcPr>
            <w:tcW w:w="581" w:type="pct"/>
          </w:tcPr>
          <w:p w14:paraId="25BCE4B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10</w:t>
            </w:r>
          </w:p>
        </w:tc>
        <w:tc>
          <w:tcPr>
            <w:tcW w:w="690" w:type="pct"/>
          </w:tcPr>
          <w:p w14:paraId="5A9E50E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692E91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180</w:t>
            </w:r>
          </w:p>
        </w:tc>
      </w:tr>
      <w:tr w:rsidR="00B9071F" w:rsidRPr="00E53977" w14:paraId="316A5C1D" w14:textId="77777777" w:rsidTr="00EC0223">
        <w:tc>
          <w:tcPr>
            <w:cnfStyle w:val="001000000000" w:firstRow="0" w:lastRow="0" w:firstColumn="1" w:lastColumn="0" w:oddVBand="0" w:evenVBand="0" w:oddHBand="0" w:evenHBand="0" w:firstRowFirstColumn="0" w:firstRowLastColumn="0" w:lastRowFirstColumn="0" w:lastRowLastColumn="0"/>
            <w:tcW w:w="239" w:type="pct"/>
            <w:vMerge/>
          </w:tcPr>
          <w:p w14:paraId="5024AE2A"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tcPr>
          <w:p w14:paraId="2A3A69C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1DF90669" w14:textId="338FAA42"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catering of socially vulnerable beneficiaries/canteen</w:t>
            </w:r>
            <w:r w:rsidR="00AB6B2F" w:rsidRPr="00E53977">
              <w:rPr>
                <w:rFonts w:eastAsia="Times New Roman" w:cs="Times New Roman"/>
                <w:sz w:val="18"/>
                <w:szCs w:val="18"/>
              </w:rPr>
              <w:t xml:space="preserve"> </w:t>
            </w:r>
          </w:p>
        </w:tc>
        <w:tc>
          <w:tcPr>
            <w:tcW w:w="467" w:type="pct"/>
          </w:tcPr>
          <w:p w14:paraId="75779B1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48</w:t>
            </w:r>
          </w:p>
        </w:tc>
        <w:tc>
          <w:tcPr>
            <w:tcW w:w="581" w:type="pct"/>
          </w:tcPr>
          <w:p w14:paraId="0884F2D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15</w:t>
            </w:r>
          </w:p>
        </w:tc>
        <w:tc>
          <w:tcPr>
            <w:tcW w:w="690" w:type="pct"/>
          </w:tcPr>
          <w:p w14:paraId="6F64A16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291E0D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73</w:t>
            </w:r>
          </w:p>
        </w:tc>
      </w:tr>
      <w:tr w:rsidR="00B9071F" w:rsidRPr="00E53977" w14:paraId="54D66A0F"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85C8221"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6FF9024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EDA4DC4"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Fast food facility </w:t>
            </w:r>
          </w:p>
        </w:tc>
        <w:tc>
          <w:tcPr>
            <w:tcW w:w="467" w:type="pct"/>
          </w:tcPr>
          <w:p w14:paraId="57E6338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74</w:t>
            </w:r>
          </w:p>
        </w:tc>
        <w:tc>
          <w:tcPr>
            <w:tcW w:w="581" w:type="pct"/>
          </w:tcPr>
          <w:p w14:paraId="35541F1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11</w:t>
            </w:r>
          </w:p>
        </w:tc>
        <w:tc>
          <w:tcPr>
            <w:tcW w:w="690" w:type="pct"/>
          </w:tcPr>
          <w:p w14:paraId="77393C5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69CC11D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50</w:t>
            </w:r>
          </w:p>
        </w:tc>
      </w:tr>
      <w:tr w:rsidR="00B9071F" w:rsidRPr="00E53977" w14:paraId="4E04F38D"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0AF9751"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B4CDE6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EFD2FC5"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Night club </w:t>
            </w:r>
          </w:p>
        </w:tc>
        <w:tc>
          <w:tcPr>
            <w:tcW w:w="467" w:type="pct"/>
          </w:tcPr>
          <w:p w14:paraId="121E794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3620458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0F19367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54B8A4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196336E1"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2F004AAE"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393DC29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115FCCD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Food unit of the medical institution </w:t>
            </w:r>
          </w:p>
        </w:tc>
        <w:tc>
          <w:tcPr>
            <w:tcW w:w="467" w:type="pct"/>
          </w:tcPr>
          <w:p w14:paraId="23430D3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581" w:type="pct"/>
          </w:tcPr>
          <w:p w14:paraId="5E5F6D3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0DECEC1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528CD9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B9071F" w:rsidRPr="00E53977" w14:paraId="2FF404B7" w14:textId="77777777" w:rsidTr="00EC0223">
        <w:tc>
          <w:tcPr>
            <w:cnfStyle w:val="001000000000" w:firstRow="0" w:lastRow="0" w:firstColumn="1" w:lastColumn="0" w:oddVBand="0" w:evenVBand="0" w:oddHBand="0" w:evenHBand="0" w:firstRowFirstColumn="0" w:firstRowLastColumn="0" w:lastRowFirstColumn="0" w:lastRowLastColumn="0"/>
            <w:tcW w:w="239" w:type="pct"/>
            <w:hideMark/>
          </w:tcPr>
          <w:p w14:paraId="0E3D0B3E"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12</w:t>
            </w:r>
          </w:p>
        </w:tc>
        <w:tc>
          <w:tcPr>
            <w:tcW w:w="936" w:type="pct"/>
            <w:hideMark/>
          </w:tcPr>
          <w:p w14:paraId="56E4F12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Canning production </w:t>
            </w:r>
          </w:p>
        </w:tc>
        <w:tc>
          <w:tcPr>
            <w:tcW w:w="1447" w:type="pct"/>
            <w:hideMark/>
          </w:tcPr>
          <w:p w14:paraId="28048F1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of canned foods </w:t>
            </w:r>
          </w:p>
        </w:tc>
        <w:tc>
          <w:tcPr>
            <w:tcW w:w="467" w:type="pct"/>
          </w:tcPr>
          <w:p w14:paraId="51F2D72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w:t>
            </w:r>
          </w:p>
        </w:tc>
        <w:tc>
          <w:tcPr>
            <w:tcW w:w="581" w:type="pct"/>
          </w:tcPr>
          <w:p w14:paraId="6C34AC9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690" w:type="pct"/>
          </w:tcPr>
          <w:p w14:paraId="3BCCEF6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40" w:type="pct"/>
          </w:tcPr>
          <w:p w14:paraId="4008E2D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w:t>
            </w:r>
          </w:p>
        </w:tc>
      </w:tr>
      <w:tr w:rsidR="00B9071F" w:rsidRPr="00E53977" w14:paraId="6FBE3533"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3F659E72"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13</w:t>
            </w:r>
          </w:p>
        </w:tc>
        <w:tc>
          <w:tcPr>
            <w:tcW w:w="936" w:type="pct"/>
            <w:vMerge w:val="restart"/>
            <w:hideMark/>
          </w:tcPr>
          <w:p w14:paraId="387C5D92" w14:textId="29837FF8"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Spices/food additives</w:t>
            </w:r>
            <w:r w:rsidR="00AB6B2F" w:rsidRPr="00E53977">
              <w:rPr>
                <w:rFonts w:eastAsia="Times New Roman" w:cs="Times New Roman"/>
                <w:sz w:val="18"/>
                <w:szCs w:val="18"/>
              </w:rPr>
              <w:t xml:space="preserve"> </w:t>
            </w:r>
          </w:p>
        </w:tc>
        <w:tc>
          <w:tcPr>
            <w:tcW w:w="1447" w:type="pct"/>
            <w:hideMark/>
          </w:tcPr>
          <w:p w14:paraId="161E81EF"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of "Ajika", mustard , Svanetian salt </w:t>
            </w:r>
          </w:p>
          <w:p w14:paraId="2B6B63C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Packing of spices </w:t>
            </w:r>
          </w:p>
        </w:tc>
        <w:tc>
          <w:tcPr>
            <w:tcW w:w="467" w:type="pct"/>
          </w:tcPr>
          <w:p w14:paraId="51DF746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w:t>
            </w:r>
          </w:p>
        </w:tc>
        <w:tc>
          <w:tcPr>
            <w:tcW w:w="581" w:type="pct"/>
          </w:tcPr>
          <w:p w14:paraId="048071B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21</w:t>
            </w:r>
          </w:p>
        </w:tc>
        <w:tc>
          <w:tcPr>
            <w:tcW w:w="690" w:type="pct"/>
          </w:tcPr>
          <w:p w14:paraId="4E97A0C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2A007CB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17</w:t>
            </w:r>
          </w:p>
        </w:tc>
      </w:tr>
      <w:tr w:rsidR="00B9071F" w:rsidRPr="00E53977" w14:paraId="55B9DACC"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6F0BDDDC"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354B365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1704CFF"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Import/sale of food additives</w:t>
            </w:r>
          </w:p>
        </w:tc>
        <w:tc>
          <w:tcPr>
            <w:tcW w:w="467" w:type="pct"/>
          </w:tcPr>
          <w:p w14:paraId="6C469E9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581" w:type="pct"/>
          </w:tcPr>
          <w:p w14:paraId="6C3FCDE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12</w:t>
            </w:r>
          </w:p>
        </w:tc>
        <w:tc>
          <w:tcPr>
            <w:tcW w:w="690" w:type="pct"/>
          </w:tcPr>
          <w:p w14:paraId="66CB84F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28B8D46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11</w:t>
            </w:r>
          </w:p>
        </w:tc>
      </w:tr>
      <w:tr w:rsidR="00B9071F" w:rsidRPr="00E53977" w14:paraId="5031B308"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560B9A5A"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14</w:t>
            </w:r>
          </w:p>
        </w:tc>
        <w:tc>
          <w:tcPr>
            <w:tcW w:w="936" w:type="pct"/>
            <w:vMerge w:val="restart"/>
            <w:hideMark/>
          </w:tcPr>
          <w:p w14:paraId="162D4B2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Drinks, water</w:t>
            </w:r>
          </w:p>
        </w:tc>
        <w:tc>
          <w:tcPr>
            <w:tcW w:w="1447" w:type="pct"/>
            <w:hideMark/>
          </w:tcPr>
          <w:p w14:paraId="62A91CEA"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Distribution, sale of alcoholic beverages </w:t>
            </w:r>
          </w:p>
        </w:tc>
        <w:tc>
          <w:tcPr>
            <w:tcW w:w="467" w:type="pct"/>
          </w:tcPr>
          <w:p w14:paraId="0CC71F9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w:t>
            </w:r>
          </w:p>
        </w:tc>
        <w:tc>
          <w:tcPr>
            <w:tcW w:w="581" w:type="pct"/>
          </w:tcPr>
          <w:p w14:paraId="4E14A55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90" w:type="pct"/>
          </w:tcPr>
          <w:p w14:paraId="0919177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22A5DD9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w:t>
            </w:r>
          </w:p>
        </w:tc>
      </w:tr>
      <w:tr w:rsidR="00B9071F" w:rsidRPr="00E53977" w14:paraId="79773CCF"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1DAE0BF5"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390D658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51FC0C35"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of alcoholic beverages </w:t>
            </w:r>
          </w:p>
        </w:tc>
        <w:tc>
          <w:tcPr>
            <w:tcW w:w="467" w:type="pct"/>
          </w:tcPr>
          <w:p w14:paraId="4D6D413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32</w:t>
            </w:r>
          </w:p>
        </w:tc>
        <w:tc>
          <w:tcPr>
            <w:tcW w:w="581" w:type="pct"/>
          </w:tcPr>
          <w:p w14:paraId="736CC84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690" w:type="pct"/>
          </w:tcPr>
          <w:p w14:paraId="2F4B528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77AB15F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34</w:t>
            </w:r>
          </w:p>
        </w:tc>
      </w:tr>
      <w:tr w:rsidR="00B9071F" w:rsidRPr="00E53977" w14:paraId="645C5599"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6E64D080"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C9FAFB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0524EB0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of bottled water </w:t>
            </w:r>
          </w:p>
        </w:tc>
        <w:tc>
          <w:tcPr>
            <w:tcW w:w="467" w:type="pct"/>
          </w:tcPr>
          <w:p w14:paraId="745851F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w:t>
            </w:r>
          </w:p>
        </w:tc>
        <w:tc>
          <w:tcPr>
            <w:tcW w:w="581" w:type="pct"/>
          </w:tcPr>
          <w:p w14:paraId="7B4C567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w:t>
            </w:r>
          </w:p>
        </w:tc>
        <w:tc>
          <w:tcPr>
            <w:tcW w:w="690" w:type="pct"/>
          </w:tcPr>
          <w:p w14:paraId="3A9D7A2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466323A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r>
      <w:tr w:rsidR="00B9071F" w:rsidRPr="00E53977" w14:paraId="6CBF25C8"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54CBFCC"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C66E08F"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01C19390"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sale of kvass </w:t>
            </w:r>
          </w:p>
        </w:tc>
        <w:tc>
          <w:tcPr>
            <w:tcW w:w="467" w:type="pct"/>
          </w:tcPr>
          <w:p w14:paraId="7A46A4F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0333BE0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730CD2C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4DFFE34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4E1AC444"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7C1967AF"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5AB927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521FD79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of apple concentrate </w:t>
            </w:r>
          </w:p>
        </w:tc>
        <w:tc>
          <w:tcPr>
            <w:tcW w:w="467" w:type="pct"/>
          </w:tcPr>
          <w:p w14:paraId="2A9ECAB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28D4C3C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90" w:type="pct"/>
          </w:tcPr>
          <w:p w14:paraId="05675A3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68FD07A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2CA3C769"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73E84C8D"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31CDB3F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B7EA0A4"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Beer production/sale</w:t>
            </w:r>
          </w:p>
        </w:tc>
        <w:tc>
          <w:tcPr>
            <w:tcW w:w="467" w:type="pct"/>
          </w:tcPr>
          <w:p w14:paraId="03E5821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581" w:type="pct"/>
          </w:tcPr>
          <w:p w14:paraId="16BD071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90" w:type="pct"/>
          </w:tcPr>
          <w:p w14:paraId="6CC51F6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6152481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r>
      <w:tr w:rsidR="00B9071F" w:rsidRPr="00E53977" w14:paraId="4218EDF3"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2225DE10"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1C4DA44"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17F61D00"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Import/export of soft drinks </w:t>
            </w:r>
          </w:p>
        </w:tc>
        <w:tc>
          <w:tcPr>
            <w:tcW w:w="467" w:type="pct"/>
          </w:tcPr>
          <w:p w14:paraId="57C3489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79C5910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2B5A1CF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3B157AE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B9071F" w:rsidRPr="00E53977" w14:paraId="0394E7CA"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16D4AAF"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68D6F96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1A2A0E54" w14:textId="34D111D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Distribution, sale of soft drinks</w:t>
            </w:r>
            <w:r w:rsidR="00AB6B2F" w:rsidRPr="00E53977">
              <w:rPr>
                <w:rFonts w:eastAsia="Times New Roman" w:cs="Times New Roman"/>
                <w:sz w:val="18"/>
                <w:szCs w:val="18"/>
              </w:rPr>
              <w:t xml:space="preserve"> </w:t>
            </w:r>
          </w:p>
        </w:tc>
        <w:tc>
          <w:tcPr>
            <w:tcW w:w="467" w:type="pct"/>
          </w:tcPr>
          <w:p w14:paraId="5A746B4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581" w:type="pct"/>
          </w:tcPr>
          <w:p w14:paraId="3F45716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661CE6C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7DCEDA2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r>
      <w:tr w:rsidR="00B9071F" w:rsidRPr="00E53977" w14:paraId="778AEF28"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028CD22E"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6F67DF1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7EE7426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Production of soft drinks</w:t>
            </w:r>
          </w:p>
        </w:tc>
        <w:tc>
          <w:tcPr>
            <w:tcW w:w="467" w:type="pct"/>
          </w:tcPr>
          <w:p w14:paraId="08EBB60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19</w:t>
            </w:r>
          </w:p>
        </w:tc>
        <w:tc>
          <w:tcPr>
            <w:tcW w:w="581" w:type="pct"/>
          </w:tcPr>
          <w:p w14:paraId="55B3C69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w:t>
            </w:r>
          </w:p>
        </w:tc>
        <w:tc>
          <w:tcPr>
            <w:tcW w:w="690" w:type="pct"/>
          </w:tcPr>
          <w:p w14:paraId="6CD6A60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1AD7C6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18</w:t>
            </w:r>
          </w:p>
        </w:tc>
      </w:tr>
      <w:tr w:rsidR="00B9071F" w:rsidRPr="00E53977" w14:paraId="3E811E5F"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2805CD04"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0196EA33"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15A34E8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Potable-household water supply</w:t>
            </w:r>
          </w:p>
        </w:tc>
        <w:tc>
          <w:tcPr>
            <w:tcW w:w="467" w:type="pct"/>
          </w:tcPr>
          <w:p w14:paraId="3508DDD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23</w:t>
            </w:r>
          </w:p>
        </w:tc>
        <w:tc>
          <w:tcPr>
            <w:tcW w:w="581" w:type="pct"/>
          </w:tcPr>
          <w:p w14:paraId="3032B6E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690" w:type="pct"/>
          </w:tcPr>
          <w:p w14:paraId="249F12B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59EF74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55</w:t>
            </w:r>
          </w:p>
        </w:tc>
      </w:tr>
      <w:tr w:rsidR="00B9071F" w:rsidRPr="00E53977" w14:paraId="79C201CB" w14:textId="77777777" w:rsidTr="00EC0223">
        <w:trPr>
          <w:trHeight w:val="132"/>
        </w:trPr>
        <w:tc>
          <w:tcPr>
            <w:cnfStyle w:val="001000000000" w:firstRow="0" w:lastRow="0" w:firstColumn="1" w:lastColumn="0" w:oddVBand="0" w:evenVBand="0" w:oddHBand="0" w:evenHBand="0" w:firstRowFirstColumn="0" w:firstRowLastColumn="0" w:lastRowFirstColumn="0" w:lastRowLastColumn="0"/>
            <w:tcW w:w="239" w:type="pct"/>
            <w:hideMark/>
          </w:tcPr>
          <w:p w14:paraId="7A76EDD9"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15</w:t>
            </w:r>
          </w:p>
        </w:tc>
        <w:tc>
          <w:tcPr>
            <w:tcW w:w="936" w:type="pct"/>
            <w:hideMark/>
          </w:tcPr>
          <w:p w14:paraId="3F8FA35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Coffee and Tea</w:t>
            </w:r>
          </w:p>
        </w:tc>
        <w:tc>
          <w:tcPr>
            <w:tcW w:w="1447" w:type="pct"/>
            <w:hideMark/>
          </w:tcPr>
          <w:p w14:paraId="047AA7EA" w14:textId="53A644E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Coffee and Tea Processing, Sale and Distribution</w:t>
            </w:r>
            <w:r w:rsidR="00AB6B2F" w:rsidRPr="00E53977">
              <w:rPr>
                <w:rFonts w:eastAsia="Times New Roman" w:cs="Times New Roman"/>
                <w:sz w:val="18"/>
                <w:szCs w:val="18"/>
              </w:rPr>
              <w:t xml:space="preserve"> </w:t>
            </w:r>
          </w:p>
        </w:tc>
        <w:tc>
          <w:tcPr>
            <w:tcW w:w="467" w:type="pct"/>
          </w:tcPr>
          <w:p w14:paraId="708864E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15</w:t>
            </w:r>
          </w:p>
        </w:tc>
        <w:tc>
          <w:tcPr>
            <w:tcW w:w="581" w:type="pct"/>
          </w:tcPr>
          <w:p w14:paraId="3B946BF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90" w:type="pct"/>
          </w:tcPr>
          <w:p w14:paraId="47FE4EB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021EFC4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w:t>
            </w:r>
          </w:p>
        </w:tc>
      </w:tr>
      <w:tr w:rsidR="00B9071F" w:rsidRPr="00E53977" w14:paraId="1EB8B54A"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22CBB133"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16</w:t>
            </w:r>
          </w:p>
        </w:tc>
        <w:tc>
          <w:tcPr>
            <w:tcW w:w="936" w:type="pct"/>
            <w:vMerge w:val="restart"/>
            <w:hideMark/>
          </w:tcPr>
          <w:p w14:paraId="7B59C405"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Storage/Sale/Distribution</w:t>
            </w:r>
          </w:p>
        </w:tc>
        <w:tc>
          <w:tcPr>
            <w:tcW w:w="1447" w:type="pct"/>
            <w:hideMark/>
          </w:tcPr>
          <w:p w14:paraId="3DC1F37F"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Catering of kindergartens </w:t>
            </w:r>
          </w:p>
        </w:tc>
        <w:tc>
          <w:tcPr>
            <w:tcW w:w="467" w:type="pct"/>
          </w:tcPr>
          <w:p w14:paraId="54A7166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35</w:t>
            </w:r>
          </w:p>
        </w:tc>
        <w:tc>
          <w:tcPr>
            <w:tcW w:w="581" w:type="pct"/>
          </w:tcPr>
          <w:p w14:paraId="2912F09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w:t>
            </w:r>
          </w:p>
        </w:tc>
        <w:tc>
          <w:tcPr>
            <w:tcW w:w="690" w:type="pct"/>
          </w:tcPr>
          <w:p w14:paraId="56A3B64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640" w:type="pct"/>
          </w:tcPr>
          <w:p w14:paraId="6194A63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23</w:t>
            </w:r>
          </w:p>
        </w:tc>
      </w:tr>
      <w:tr w:rsidR="00B9071F" w:rsidRPr="00E53977" w14:paraId="4B9C21CF"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2F0FABA7"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0739025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11C2AF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Trade on counter </w:t>
            </w:r>
          </w:p>
        </w:tc>
        <w:tc>
          <w:tcPr>
            <w:tcW w:w="467" w:type="pct"/>
          </w:tcPr>
          <w:p w14:paraId="20A9DBC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581" w:type="pct"/>
          </w:tcPr>
          <w:p w14:paraId="2F61B0D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51CA2DD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44DE6C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r>
      <w:tr w:rsidR="00B9071F" w:rsidRPr="00E53977" w14:paraId="0CE29AA4"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3FC9EC26"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40754180"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6D5EA137"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wholesale trade </w:t>
            </w:r>
          </w:p>
        </w:tc>
        <w:tc>
          <w:tcPr>
            <w:tcW w:w="467" w:type="pct"/>
          </w:tcPr>
          <w:p w14:paraId="625BB36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581" w:type="pct"/>
          </w:tcPr>
          <w:p w14:paraId="72FDD94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90" w:type="pct"/>
          </w:tcPr>
          <w:p w14:paraId="0F85130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7F37707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r>
      <w:tr w:rsidR="00B9071F" w:rsidRPr="00E53977" w14:paraId="01948971"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6C53408B"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50E012D3"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F3F0C15"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Distribution company </w:t>
            </w:r>
          </w:p>
        </w:tc>
        <w:tc>
          <w:tcPr>
            <w:tcW w:w="467" w:type="pct"/>
          </w:tcPr>
          <w:p w14:paraId="70BF5CE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18</w:t>
            </w:r>
          </w:p>
        </w:tc>
        <w:tc>
          <w:tcPr>
            <w:tcW w:w="581" w:type="pct"/>
          </w:tcPr>
          <w:p w14:paraId="785B79C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w:t>
            </w:r>
          </w:p>
        </w:tc>
        <w:tc>
          <w:tcPr>
            <w:tcW w:w="690" w:type="pct"/>
          </w:tcPr>
          <w:p w14:paraId="685CD21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40" w:type="pct"/>
          </w:tcPr>
          <w:p w14:paraId="4BF498B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21</w:t>
            </w:r>
          </w:p>
        </w:tc>
      </w:tr>
      <w:tr w:rsidR="00B9071F" w:rsidRPr="00E53977" w14:paraId="52423EB2"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3A69746A"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AA3E17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7C0DB18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Distribution network </w:t>
            </w:r>
          </w:p>
        </w:tc>
        <w:tc>
          <w:tcPr>
            <w:tcW w:w="467" w:type="pct"/>
          </w:tcPr>
          <w:p w14:paraId="3460687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25</w:t>
            </w:r>
          </w:p>
        </w:tc>
        <w:tc>
          <w:tcPr>
            <w:tcW w:w="581" w:type="pct"/>
          </w:tcPr>
          <w:p w14:paraId="7194E17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w:t>
            </w:r>
          </w:p>
        </w:tc>
        <w:tc>
          <w:tcPr>
            <w:tcW w:w="690" w:type="pct"/>
          </w:tcPr>
          <w:p w14:paraId="779A879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7E4FB0E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22</w:t>
            </w:r>
          </w:p>
        </w:tc>
      </w:tr>
      <w:tr w:rsidR="00B9071F" w:rsidRPr="00E53977" w14:paraId="65FF7938"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26C1618"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79871F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4E598D2A"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Refrigeration facilities </w:t>
            </w:r>
          </w:p>
        </w:tc>
        <w:tc>
          <w:tcPr>
            <w:tcW w:w="467" w:type="pct"/>
          </w:tcPr>
          <w:p w14:paraId="5C895C1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17</w:t>
            </w:r>
          </w:p>
        </w:tc>
        <w:tc>
          <w:tcPr>
            <w:tcW w:w="581" w:type="pct"/>
          </w:tcPr>
          <w:p w14:paraId="1C9E1A4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w:t>
            </w:r>
          </w:p>
        </w:tc>
        <w:tc>
          <w:tcPr>
            <w:tcW w:w="690" w:type="pct"/>
          </w:tcPr>
          <w:p w14:paraId="7861B87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7EE249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15</w:t>
            </w:r>
          </w:p>
        </w:tc>
      </w:tr>
      <w:tr w:rsidR="00B9071F" w:rsidRPr="00E53977" w14:paraId="6888A5C6" w14:textId="77777777" w:rsidTr="00EC0223">
        <w:tc>
          <w:tcPr>
            <w:cnfStyle w:val="001000000000" w:firstRow="0" w:lastRow="0" w:firstColumn="1" w:lastColumn="0" w:oddVBand="0" w:evenVBand="0" w:oddHBand="0" w:evenHBand="0" w:firstRowFirstColumn="0" w:firstRowLastColumn="0" w:lastRowFirstColumn="0" w:lastRowLastColumn="0"/>
            <w:tcW w:w="239" w:type="pct"/>
            <w:vMerge/>
          </w:tcPr>
          <w:p w14:paraId="14DA3F8D"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tcPr>
          <w:p w14:paraId="13C4AE6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7B63AFB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Warehouse facilities </w:t>
            </w:r>
          </w:p>
        </w:tc>
        <w:tc>
          <w:tcPr>
            <w:tcW w:w="467" w:type="pct"/>
          </w:tcPr>
          <w:p w14:paraId="3A59A4F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18</w:t>
            </w:r>
          </w:p>
        </w:tc>
        <w:tc>
          <w:tcPr>
            <w:tcW w:w="581" w:type="pct"/>
          </w:tcPr>
          <w:p w14:paraId="1C1AD10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w:t>
            </w:r>
          </w:p>
        </w:tc>
        <w:tc>
          <w:tcPr>
            <w:tcW w:w="690" w:type="pct"/>
          </w:tcPr>
          <w:p w14:paraId="4BD1DAF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40" w:type="pct"/>
          </w:tcPr>
          <w:p w14:paraId="4CC97B3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19</w:t>
            </w:r>
          </w:p>
        </w:tc>
      </w:tr>
      <w:tr w:rsidR="00B9071F" w:rsidRPr="00E53977" w14:paraId="28CB21A7"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D4C90FE"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5D6347F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44CD044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Grocery store, supermarket</w:t>
            </w:r>
          </w:p>
        </w:tc>
        <w:tc>
          <w:tcPr>
            <w:tcW w:w="467" w:type="pct"/>
          </w:tcPr>
          <w:p w14:paraId="082A1C6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793</w:t>
            </w:r>
          </w:p>
        </w:tc>
        <w:tc>
          <w:tcPr>
            <w:tcW w:w="581" w:type="pct"/>
          </w:tcPr>
          <w:p w14:paraId="5290FBA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45</w:t>
            </w:r>
          </w:p>
        </w:tc>
        <w:tc>
          <w:tcPr>
            <w:tcW w:w="690" w:type="pct"/>
          </w:tcPr>
          <w:p w14:paraId="1F140EA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F82678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593</w:t>
            </w:r>
          </w:p>
        </w:tc>
      </w:tr>
      <w:tr w:rsidR="00B9071F" w:rsidRPr="00E53977" w14:paraId="2A9A50F6"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13D6DB90"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34B1D943"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5E8B0CA"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Retail and wholesale trade</w:t>
            </w:r>
          </w:p>
        </w:tc>
        <w:tc>
          <w:tcPr>
            <w:tcW w:w="467" w:type="pct"/>
          </w:tcPr>
          <w:p w14:paraId="6AD2F9D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16</w:t>
            </w:r>
          </w:p>
        </w:tc>
        <w:tc>
          <w:tcPr>
            <w:tcW w:w="581" w:type="pct"/>
          </w:tcPr>
          <w:p w14:paraId="3AC8943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5</w:t>
            </w:r>
          </w:p>
        </w:tc>
        <w:tc>
          <w:tcPr>
            <w:tcW w:w="690" w:type="pct"/>
          </w:tcPr>
          <w:p w14:paraId="3BEBB2D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C39A5C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11</w:t>
            </w:r>
          </w:p>
        </w:tc>
      </w:tr>
      <w:tr w:rsidR="00B9071F" w:rsidRPr="00E53977" w14:paraId="49FEBBDF"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7D20BCA3"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6BF1C02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3465C3F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School catering</w:t>
            </w:r>
          </w:p>
        </w:tc>
        <w:tc>
          <w:tcPr>
            <w:tcW w:w="467" w:type="pct"/>
          </w:tcPr>
          <w:p w14:paraId="3F1C3AF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390FEEB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33452D5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7FE9DE3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250BABAD" w14:textId="77777777" w:rsidTr="00EC0223">
        <w:tc>
          <w:tcPr>
            <w:cnfStyle w:val="001000000000" w:firstRow="0" w:lastRow="0" w:firstColumn="1" w:lastColumn="0" w:oddVBand="0" w:evenVBand="0" w:oddHBand="0" w:evenHBand="0" w:firstRowFirstColumn="0" w:firstRowLastColumn="0" w:lastRowFirstColumn="0" w:lastRowLastColumn="0"/>
            <w:tcW w:w="239" w:type="pct"/>
            <w:hideMark/>
          </w:tcPr>
          <w:p w14:paraId="4C7A3666"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17</w:t>
            </w:r>
          </w:p>
        </w:tc>
        <w:tc>
          <w:tcPr>
            <w:tcW w:w="936" w:type="pct"/>
            <w:hideMark/>
          </w:tcPr>
          <w:p w14:paraId="0785BF7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Animal Feed Production </w:t>
            </w:r>
          </w:p>
        </w:tc>
        <w:tc>
          <w:tcPr>
            <w:tcW w:w="1447" w:type="pct"/>
            <w:hideMark/>
          </w:tcPr>
          <w:p w14:paraId="310F455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Animal feed production</w:t>
            </w:r>
          </w:p>
        </w:tc>
        <w:tc>
          <w:tcPr>
            <w:tcW w:w="467" w:type="pct"/>
          </w:tcPr>
          <w:p w14:paraId="31E335C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7491F43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1E52F0A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6EE6BDC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B9071F" w:rsidRPr="00E53977" w14:paraId="0BFF48B9"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4BC5D5CD"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18</w:t>
            </w:r>
          </w:p>
        </w:tc>
        <w:tc>
          <w:tcPr>
            <w:tcW w:w="936" w:type="pct"/>
            <w:vMerge w:val="restart"/>
            <w:hideMark/>
          </w:tcPr>
          <w:p w14:paraId="7FA7FE0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Fruit and Vegetables </w:t>
            </w:r>
          </w:p>
        </w:tc>
        <w:tc>
          <w:tcPr>
            <w:tcW w:w="1447" w:type="pct"/>
            <w:hideMark/>
          </w:tcPr>
          <w:p w14:paraId="6AC9233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Vegetables Import/Export</w:t>
            </w:r>
          </w:p>
        </w:tc>
        <w:tc>
          <w:tcPr>
            <w:tcW w:w="467" w:type="pct"/>
          </w:tcPr>
          <w:p w14:paraId="4159CD2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2D1F291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1F78BA8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75990FC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14199474"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5B958565"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22B69A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6801B95"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Dried fruit production</w:t>
            </w:r>
          </w:p>
        </w:tc>
        <w:tc>
          <w:tcPr>
            <w:tcW w:w="467" w:type="pct"/>
          </w:tcPr>
          <w:p w14:paraId="1BAEF1A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581" w:type="pct"/>
          </w:tcPr>
          <w:p w14:paraId="21797B4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4C7BCE1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449E9DD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B9071F" w:rsidRPr="00E53977" w14:paraId="2C3546B5"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3460CFBA"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010DE525"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0D1C765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Bay leaves production and sale </w:t>
            </w:r>
          </w:p>
        </w:tc>
        <w:tc>
          <w:tcPr>
            <w:tcW w:w="467" w:type="pct"/>
          </w:tcPr>
          <w:p w14:paraId="17F590E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15</w:t>
            </w:r>
          </w:p>
        </w:tc>
        <w:tc>
          <w:tcPr>
            <w:tcW w:w="581" w:type="pct"/>
          </w:tcPr>
          <w:p w14:paraId="42C5897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13</w:t>
            </w:r>
          </w:p>
        </w:tc>
        <w:tc>
          <w:tcPr>
            <w:tcW w:w="690" w:type="pct"/>
          </w:tcPr>
          <w:p w14:paraId="2F3830C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19B41278"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B9071F" w:rsidRPr="00E53977" w14:paraId="39693462"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12E661AD"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B3DEE1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01E46DD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Sale of fruit and vegetables </w:t>
            </w:r>
          </w:p>
        </w:tc>
        <w:tc>
          <w:tcPr>
            <w:tcW w:w="467" w:type="pct"/>
          </w:tcPr>
          <w:p w14:paraId="3357418D"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581" w:type="pct"/>
          </w:tcPr>
          <w:p w14:paraId="357A93A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3A7EEE1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3281D22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4EE4A6B8"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140B6F3E"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19</w:t>
            </w:r>
          </w:p>
        </w:tc>
        <w:tc>
          <w:tcPr>
            <w:tcW w:w="936" w:type="pct"/>
            <w:vMerge w:val="restart"/>
            <w:hideMark/>
          </w:tcPr>
          <w:p w14:paraId="15B7569F"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Meat and Meat Products </w:t>
            </w:r>
          </w:p>
        </w:tc>
        <w:tc>
          <w:tcPr>
            <w:tcW w:w="1447" w:type="pct"/>
            <w:hideMark/>
          </w:tcPr>
          <w:p w14:paraId="3582D4F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Poultry slaughterhouse</w:t>
            </w:r>
          </w:p>
        </w:tc>
        <w:tc>
          <w:tcPr>
            <w:tcW w:w="467" w:type="pct"/>
          </w:tcPr>
          <w:p w14:paraId="77312BA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17</w:t>
            </w:r>
          </w:p>
        </w:tc>
        <w:tc>
          <w:tcPr>
            <w:tcW w:w="581" w:type="pct"/>
          </w:tcPr>
          <w:p w14:paraId="34654FC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690" w:type="pct"/>
          </w:tcPr>
          <w:p w14:paraId="2DB3887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w:t>
            </w:r>
          </w:p>
        </w:tc>
        <w:tc>
          <w:tcPr>
            <w:tcW w:w="640" w:type="pct"/>
          </w:tcPr>
          <w:p w14:paraId="5B866BD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20</w:t>
            </w:r>
          </w:p>
        </w:tc>
      </w:tr>
      <w:tr w:rsidR="00B9071F" w:rsidRPr="00E53977" w14:paraId="512D2E4D" w14:textId="77777777" w:rsidTr="00EC0223">
        <w:tc>
          <w:tcPr>
            <w:cnfStyle w:val="001000000000" w:firstRow="0" w:lastRow="0" w:firstColumn="1" w:lastColumn="0" w:oddVBand="0" w:evenVBand="0" w:oddHBand="0" w:evenHBand="0" w:firstRowFirstColumn="0" w:firstRowLastColumn="0" w:lastRowFirstColumn="0" w:lastRowLastColumn="0"/>
            <w:tcW w:w="239" w:type="pct"/>
            <w:vMerge/>
          </w:tcPr>
          <w:p w14:paraId="34DCCBD8"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tcPr>
          <w:p w14:paraId="1584DFA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5840C3D"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Packing of Sheep Intestines</w:t>
            </w:r>
          </w:p>
        </w:tc>
        <w:tc>
          <w:tcPr>
            <w:tcW w:w="467" w:type="pct"/>
          </w:tcPr>
          <w:p w14:paraId="55D65773"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581" w:type="pct"/>
          </w:tcPr>
          <w:p w14:paraId="1AE5C812"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7C39269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378A56B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113BAC17"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4D5623ED"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CAD20C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18CF386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Animal slaughterhouse</w:t>
            </w:r>
          </w:p>
        </w:tc>
        <w:tc>
          <w:tcPr>
            <w:tcW w:w="467" w:type="pct"/>
          </w:tcPr>
          <w:p w14:paraId="60B4880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179</w:t>
            </w:r>
          </w:p>
        </w:tc>
        <w:tc>
          <w:tcPr>
            <w:tcW w:w="581" w:type="pct"/>
          </w:tcPr>
          <w:p w14:paraId="08D3A45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13</w:t>
            </w:r>
          </w:p>
        </w:tc>
        <w:tc>
          <w:tcPr>
            <w:tcW w:w="690" w:type="pct"/>
          </w:tcPr>
          <w:p w14:paraId="3A53E2F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44</w:t>
            </w:r>
          </w:p>
        </w:tc>
        <w:tc>
          <w:tcPr>
            <w:tcW w:w="640" w:type="pct"/>
          </w:tcPr>
          <w:p w14:paraId="3F35E26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331</w:t>
            </w:r>
          </w:p>
        </w:tc>
      </w:tr>
      <w:tr w:rsidR="00B9071F" w:rsidRPr="00E53977" w14:paraId="52611E84"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3945AEF2"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4155436B"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7F0840FA"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processing and canning of meat and meat products </w:t>
            </w:r>
          </w:p>
        </w:tc>
        <w:tc>
          <w:tcPr>
            <w:tcW w:w="467" w:type="pct"/>
          </w:tcPr>
          <w:p w14:paraId="7AB1A03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23</w:t>
            </w:r>
          </w:p>
        </w:tc>
        <w:tc>
          <w:tcPr>
            <w:tcW w:w="581" w:type="pct"/>
          </w:tcPr>
          <w:p w14:paraId="0B5D5A3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18</w:t>
            </w:r>
          </w:p>
        </w:tc>
        <w:tc>
          <w:tcPr>
            <w:tcW w:w="690" w:type="pct"/>
          </w:tcPr>
          <w:p w14:paraId="175BCFC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45</w:t>
            </w:r>
          </w:p>
        </w:tc>
        <w:tc>
          <w:tcPr>
            <w:tcW w:w="640" w:type="pct"/>
          </w:tcPr>
          <w:p w14:paraId="383E8AD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65</w:t>
            </w:r>
          </w:p>
        </w:tc>
      </w:tr>
      <w:tr w:rsidR="00B9071F" w:rsidRPr="00E53977" w14:paraId="2EC02859"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72DC8192"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063B32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5BDCB569"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Meat distribution </w:t>
            </w:r>
          </w:p>
        </w:tc>
        <w:tc>
          <w:tcPr>
            <w:tcW w:w="467" w:type="pct"/>
          </w:tcPr>
          <w:p w14:paraId="3D28599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581" w:type="pct"/>
          </w:tcPr>
          <w:p w14:paraId="50026EB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085D5EE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640" w:type="pct"/>
          </w:tcPr>
          <w:p w14:paraId="010EC59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B9071F" w:rsidRPr="00E53977" w14:paraId="7FC91CB6"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1CD8B208"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403297C3"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6FF4F488"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Meat sale </w:t>
            </w:r>
          </w:p>
        </w:tc>
        <w:tc>
          <w:tcPr>
            <w:tcW w:w="467" w:type="pct"/>
          </w:tcPr>
          <w:p w14:paraId="2356021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374</w:t>
            </w:r>
          </w:p>
        </w:tc>
        <w:tc>
          <w:tcPr>
            <w:tcW w:w="581" w:type="pct"/>
          </w:tcPr>
          <w:p w14:paraId="359AE96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31</w:t>
            </w:r>
          </w:p>
        </w:tc>
        <w:tc>
          <w:tcPr>
            <w:tcW w:w="690" w:type="pct"/>
          </w:tcPr>
          <w:p w14:paraId="12F9AF80"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9</w:t>
            </w:r>
          </w:p>
        </w:tc>
        <w:tc>
          <w:tcPr>
            <w:tcW w:w="640" w:type="pct"/>
          </w:tcPr>
          <w:p w14:paraId="0FCE7E1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273</w:t>
            </w:r>
          </w:p>
        </w:tc>
      </w:tr>
      <w:tr w:rsidR="00B9071F" w:rsidRPr="00E53977" w14:paraId="797414E6"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615F6DD2"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25050D4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4DDBE7B0"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Trade in meat products </w:t>
            </w:r>
          </w:p>
        </w:tc>
        <w:tc>
          <w:tcPr>
            <w:tcW w:w="467" w:type="pct"/>
          </w:tcPr>
          <w:p w14:paraId="085424E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12</w:t>
            </w:r>
          </w:p>
        </w:tc>
        <w:tc>
          <w:tcPr>
            <w:tcW w:w="581" w:type="pct"/>
          </w:tcPr>
          <w:p w14:paraId="1F1977B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3</w:t>
            </w:r>
          </w:p>
        </w:tc>
        <w:tc>
          <w:tcPr>
            <w:tcW w:w="690" w:type="pct"/>
          </w:tcPr>
          <w:p w14:paraId="2F122BE7"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4</w:t>
            </w:r>
          </w:p>
        </w:tc>
        <w:tc>
          <w:tcPr>
            <w:tcW w:w="640" w:type="pct"/>
          </w:tcPr>
          <w:p w14:paraId="672B0BE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11</w:t>
            </w:r>
          </w:p>
        </w:tc>
      </w:tr>
      <w:tr w:rsidR="00B9071F" w:rsidRPr="00E53977" w14:paraId="6109EABE"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7552AB0C"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7F78CFF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58CFF4A6"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Distribution of meat products </w:t>
            </w:r>
          </w:p>
        </w:tc>
        <w:tc>
          <w:tcPr>
            <w:tcW w:w="467" w:type="pct"/>
          </w:tcPr>
          <w:p w14:paraId="3CE9791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581" w:type="pct"/>
          </w:tcPr>
          <w:p w14:paraId="63D8548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7D30B18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40" w:type="pct"/>
          </w:tcPr>
          <w:p w14:paraId="5018C351"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54D3EE8A" w14:textId="77777777" w:rsidTr="00EC0223">
        <w:tc>
          <w:tcPr>
            <w:cnfStyle w:val="001000000000" w:firstRow="0" w:lastRow="0" w:firstColumn="1" w:lastColumn="0" w:oddVBand="0" w:evenVBand="0" w:oddHBand="0" w:evenHBand="0" w:firstRowFirstColumn="0" w:firstRowLastColumn="0" w:lastRowFirstColumn="0" w:lastRowLastColumn="0"/>
            <w:tcW w:w="239" w:type="pct"/>
            <w:vMerge w:val="restart"/>
            <w:hideMark/>
          </w:tcPr>
          <w:p w14:paraId="547F5F94"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20</w:t>
            </w:r>
          </w:p>
        </w:tc>
        <w:tc>
          <w:tcPr>
            <w:tcW w:w="936" w:type="pct"/>
            <w:vMerge w:val="restart"/>
            <w:hideMark/>
          </w:tcPr>
          <w:p w14:paraId="35828177"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Sugar, Salt</w:t>
            </w:r>
          </w:p>
        </w:tc>
        <w:tc>
          <w:tcPr>
            <w:tcW w:w="1447" w:type="pct"/>
            <w:hideMark/>
          </w:tcPr>
          <w:p w14:paraId="6AAD7DC2"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Sugar production </w:t>
            </w:r>
          </w:p>
        </w:tc>
        <w:tc>
          <w:tcPr>
            <w:tcW w:w="467" w:type="pct"/>
          </w:tcPr>
          <w:p w14:paraId="1CBE58E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581" w:type="pct"/>
          </w:tcPr>
          <w:p w14:paraId="4D65CFE4"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55E5313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549E37E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r>
      <w:tr w:rsidR="00B9071F" w:rsidRPr="00E53977" w14:paraId="4AC68A72" w14:textId="77777777" w:rsidTr="00EC0223">
        <w:tc>
          <w:tcPr>
            <w:cnfStyle w:val="001000000000" w:firstRow="0" w:lastRow="0" w:firstColumn="1" w:lastColumn="0" w:oddVBand="0" w:evenVBand="0" w:oddHBand="0" w:evenHBand="0" w:firstRowFirstColumn="0" w:firstRowLastColumn="0" w:lastRowFirstColumn="0" w:lastRowLastColumn="0"/>
            <w:tcW w:w="239" w:type="pct"/>
            <w:vMerge/>
            <w:hideMark/>
          </w:tcPr>
          <w:p w14:paraId="6172F880" w14:textId="77777777" w:rsidR="00B9071F" w:rsidRPr="00E53977" w:rsidRDefault="00B9071F" w:rsidP="002771FB">
            <w:pPr>
              <w:widowControl w:val="0"/>
              <w:spacing w:after="0"/>
              <w:ind w:left="-25"/>
              <w:rPr>
                <w:rFonts w:eastAsia="Times New Roman" w:cs="Times New Roman"/>
                <w:sz w:val="18"/>
                <w:szCs w:val="18"/>
              </w:rPr>
            </w:pPr>
          </w:p>
        </w:tc>
        <w:tc>
          <w:tcPr>
            <w:tcW w:w="936" w:type="pct"/>
            <w:vMerge/>
            <w:hideMark/>
          </w:tcPr>
          <w:p w14:paraId="12B43493"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p>
        </w:tc>
        <w:tc>
          <w:tcPr>
            <w:tcW w:w="1447" w:type="pct"/>
            <w:hideMark/>
          </w:tcPr>
          <w:p w14:paraId="2651985C"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Salt production </w:t>
            </w:r>
          </w:p>
        </w:tc>
        <w:tc>
          <w:tcPr>
            <w:tcW w:w="467" w:type="pct"/>
          </w:tcPr>
          <w:p w14:paraId="234EDAAA"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581" w:type="pct"/>
          </w:tcPr>
          <w:p w14:paraId="23276C0C"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c>
          <w:tcPr>
            <w:tcW w:w="690" w:type="pct"/>
          </w:tcPr>
          <w:p w14:paraId="3A68DC5B"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63DA5A49"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B9071F" w:rsidRPr="00E53977" w14:paraId="32015C47" w14:textId="77777777" w:rsidTr="00EC0223">
        <w:tc>
          <w:tcPr>
            <w:cnfStyle w:val="001000000000" w:firstRow="0" w:lastRow="0" w:firstColumn="1" w:lastColumn="0" w:oddVBand="0" w:evenVBand="0" w:oddHBand="0" w:evenHBand="0" w:firstRowFirstColumn="0" w:firstRowLastColumn="0" w:lastRowFirstColumn="0" w:lastRowLastColumn="0"/>
            <w:tcW w:w="239" w:type="pct"/>
            <w:hideMark/>
          </w:tcPr>
          <w:p w14:paraId="3DBA0EC8" w14:textId="77777777" w:rsidR="00B9071F" w:rsidRPr="00E53977" w:rsidRDefault="00B9071F" w:rsidP="002771FB">
            <w:pPr>
              <w:widowControl w:val="0"/>
              <w:spacing w:after="0"/>
              <w:ind w:left="-25"/>
              <w:jc w:val="center"/>
              <w:rPr>
                <w:rFonts w:eastAsia="Times New Roman" w:cs="Times New Roman"/>
                <w:sz w:val="18"/>
                <w:szCs w:val="18"/>
              </w:rPr>
            </w:pPr>
            <w:r w:rsidRPr="00E53977">
              <w:rPr>
                <w:rFonts w:eastAsia="Times New Roman" w:cs="Times New Roman"/>
                <w:sz w:val="18"/>
                <w:szCs w:val="18"/>
              </w:rPr>
              <w:t>21</w:t>
            </w:r>
          </w:p>
        </w:tc>
        <w:tc>
          <w:tcPr>
            <w:tcW w:w="936" w:type="pct"/>
            <w:hideMark/>
          </w:tcPr>
          <w:p w14:paraId="25D5E08E"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Potato chips etc.</w:t>
            </w:r>
          </w:p>
        </w:tc>
        <w:tc>
          <w:tcPr>
            <w:tcW w:w="1447" w:type="pct"/>
            <w:hideMark/>
          </w:tcPr>
          <w:p w14:paraId="19146F85" w14:textId="77777777" w:rsidR="00B9071F" w:rsidRPr="00E53977" w:rsidRDefault="00B9071F" w:rsidP="002771FB">
            <w:pPr>
              <w:widowControl w:val="0"/>
              <w:spacing w:after="0"/>
              <w:ind w:left="-25"/>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 xml:space="preserve">Production of potato chips </w:t>
            </w:r>
          </w:p>
        </w:tc>
        <w:tc>
          <w:tcPr>
            <w:tcW w:w="467" w:type="pct"/>
          </w:tcPr>
          <w:p w14:paraId="4007032E"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2</w:t>
            </w:r>
          </w:p>
        </w:tc>
        <w:tc>
          <w:tcPr>
            <w:tcW w:w="581" w:type="pct"/>
          </w:tcPr>
          <w:p w14:paraId="6811C896"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90" w:type="pct"/>
          </w:tcPr>
          <w:p w14:paraId="0D490A45"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0</w:t>
            </w:r>
          </w:p>
        </w:tc>
        <w:tc>
          <w:tcPr>
            <w:tcW w:w="640" w:type="pct"/>
          </w:tcPr>
          <w:p w14:paraId="461BC27F" w14:textId="77777777" w:rsidR="00B9071F" w:rsidRPr="00E53977" w:rsidRDefault="00B9071F" w:rsidP="002771FB">
            <w:pPr>
              <w:widowControl w:val="0"/>
              <w:spacing w:after="0"/>
              <w:ind w:left="-25"/>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E53977">
              <w:rPr>
                <w:rFonts w:cs="Times New Roman"/>
                <w:sz w:val="18"/>
                <w:szCs w:val="18"/>
              </w:rPr>
              <w:t>1</w:t>
            </w:r>
          </w:p>
        </w:tc>
      </w:tr>
      <w:tr w:rsidR="007E46DE" w:rsidRPr="00E53977" w14:paraId="704466BF" w14:textId="77777777" w:rsidTr="00EC0223">
        <w:trPr>
          <w:cnfStyle w:val="010000000000" w:firstRow="0" w:lastRow="1"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22" w:type="pct"/>
            <w:gridSpan w:val="3"/>
            <w:vAlign w:val="center"/>
            <w:hideMark/>
          </w:tcPr>
          <w:p w14:paraId="744E985E" w14:textId="2F408527" w:rsidR="007E46DE" w:rsidRPr="00E53977" w:rsidRDefault="007E46DE" w:rsidP="002771FB">
            <w:pPr>
              <w:widowControl w:val="0"/>
              <w:spacing w:after="0"/>
              <w:ind w:left="-25"/>
              <w:jc w:val="left"/>
              <w:rPr>
                <w:rFonts w:eastAsia="Times New Roman" w:cs="Times New Roman"/>
                <w:sz w:val="18"/>
                <w:szCs w:val="18"/>
              </w:rPr>
            </w:pPr>
            <w:r w:rsidRPr="00E53977">
              <w:rPr>
                <w:rFonts w:eastAsia="Times New Roman" w:cs="Times New Roman"/>
                <w:sz w:val="18"/>
                <w:szCs w:val="18"/>
              </w:rPr>
              <w:t>T</w:t>
            </w:r>
            <w:r w:rsidR="00C95C22" w:rsidRPr="00E53977">
              <w:rPr>
                <w:rFonts w:eastAsia="Times New Roman" w:cs="Times New Roman"/>
                <w:sz w:val="18"/>
                <w:szCs w:val="18"/>
              </w:rPr>
              <w:t>otal</w:t>
            </w:r>
          </w:p>
        </w:tc>
        <w:tc>
          <w:tcPr>
            <w:tcW w:w="467" w:type="pct"/>
            <w:vAlign w:val="center"/>
          </w:tcPr>
          <w:p w14:paraId="06383926" w14:textId="69EE6752" w:rsidR="007E46DE" w:rsidRPr="00E53977" w:rsidRDefault="007E46DE" w:rsidP="002771FB">
            <w:pPr>
              <w:widowControl w:val="0"/>
              <w:spacing w:after="0"/>
              <w:ind w:left="-25"/>
              <w:jc w:val="center"/>
              <w:cnfStyle w:val="010000000000" w:firstRow="0" w:lastRow="1"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4,425</w:t>
            </w:r>
          </w:p>
        </w:tc>
        <w:tc>
          <w:tcPr>
            <w:tcW w:w="581" w:type="pct"/>
            <w:vAlign w:val="center"/>
          </w:tcPr>
          <w:p w14:paraId="35F528F8" w14:textId="79FEB091" w:rsidR="007E46DE" w:rsidRPr="00E53977" w:rsidRDefault="007E46DE" w:rsidP="002771FB">
            <w:pPr>
              <w:widowControl w:val="0"/>
              <w:spacing w:after="0"/>
              <w:ind w:left="-25"/>
              <w:jc w:val="center"/>
              <w:cnfStyle w:val="010000000000" w:firstRow="0" w:lastRow="1"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7,82</w:t>
            </w:r>
          </w:p>
        </w:tc>
        <w:tc>
          <w:tcPr>
            <w:tcW w:w="690" w:type="pct"/>
            <w:vAlign w:val="center"/>
          </w:tcPr>
          <w:p w14:paraId="1931747C" w14:textId="77777777" w:rsidR="007E46DE" w:rsidRPr="00E53977" w:rsidRDefault="007E46DE" w:rsidP="002771FB">
            <w:pPr>
              <w:widowControl w:val="0"/>
              <w:spacing w:after="0"/>
              <w:ind w:left="-25"/>
              <w:jc w:val="center"/>
              <w:cnfStyle w:val="010000000000" w:firstRow="0" w:lastRow="1"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296</w:t>
            </w:r>
          </w:p>
        </w:tc>
        <w:tc>
          <w:tcPr>
            <w:tcW w:w="640" w:type="pct"/>
            <w:vAlign w:val="center"/>
          </w:tcPr>
          <w:p w14:paraId="194E69FA" w14:textId="3AC8AD93" w:rsidR="007E46DE" w:rsidRPr="00E53977" w:rsidRDefault="007E46DE" w:rsidP="002771FB">
            <w:pPr>
              <w:widowControl w:val="0"/>
              <w:spacing w:after="0"/>
              <w:ind w:left="-25"/>
              <w:jc w:val="center"/>
              <w:cnfStyle w:val="010000000000" w:firstRow="0" w:lastRow="1" w:firstColumn="0" w:lastColumn="0" w:oddVBand="0" w:evenVBand="0" w:oddHBand="0" w:evenHBand="0" w:firstRowFirstColumn="0" w:firstRowLastColumn="0" w:lastRowFirstColumn="0" w:lastRowLastColumn="0"/>
              <w:rPr>
                <w:rFonts w:eastAsia="Times New Roman" w:cs="Times New Roman"/>
                <w:sz w:val="18"/>
                <w:szCs w:val="18"/>
              </w:rPr>
            </w:pPr>
            <w:r w:rsidRPr="00E53977">
              <w:rPr>
                <w:rFonts w:eastAsia="Times New Roman" w:cs="Times New Roman"/>
                <w:sz w:val="18"/>
                <w:szCs w:val="18"/>
              </w:rPr>
              <w:t>4,624</w:t>
            </w:r>
          </w:p>
        </w:tc>
      </w:tr>
    </w:tbl>
    <w:p w14:paraId="251CABD0" w14:textId="13E777CA" w:rsidR="000E32A1" w:rsidRPr="00E53977" w:rsidRDefault="000E32A1" w:rsidP="002771FB">
      <w:pPr>
        <w:widowControl w:val="0"/>
        <w:jc w:val="left"/>
        <w:rPr>
          <w:rFonts w:eastAsiaTheme="majorEastAsia" w:cstheme="minorHAnsi"/>
          <w:b/>
          <w:caps/>
          <w:color w:val="0070C0"/>
          <w:sz w:val="28"/>
          <w:szCs w:val="32"/>
        </w:rPr>
      </w:pPr>
      <w:bookmarkStart w:id="98" w:name="_Toc508180553"/>
    </w:p>
    <w:p w14:paraId="63CD6365" w14:textId="52258778" w:rsidR="00B9071F" w:rsidRPr="00E53977" w:rsidRDefault="00193426" w:rsidP="002771FB">
      <w:pPr>
        <w:widowControl w:val="0"/>
      </w:pPr>
      <w:r w:rsidRPr="00E53977">
        <w:rPr>
          <w:b/>
        </w:rPr>
        <w:t xml:space="preserve">NFA Sampling </w:t>
      </w:r>
      <w:r w:rsidR="001A7B3B" w:rsidRPr="00E53977">
        <w:rPr>
          <w:b/>
        </w:rPr>
        <w:t>f</w:t>
      </w:r>
      <w:r w:rsidRPr="00E53977">
        <w:rPr>
          <w:b/>
        </w:rPr>
        <w:t>or Food Safety &amp; Quality, 2016-17</w:t>
      </w:r>
    </w:p>
    <w:tbl>
      <w:tblPr>
        <w:tblStyle w:val="GridTable1Light1"/>
        <w:tblW w:w="5000" w:type="pct"/>
        <w:tblLook w:val="0640" w:firstRow="0" w:lastRow="1" w:firstColumn="0" w:lastColumn="0" w:noHBand="1" w:noVBand="1"/>
      </w:tblPr>
      <w:tblGrid>
        <w:gridCol w:w="2612"/>
        <w:gridCol w:w="1139"/>
        <w:gridCol w:w="1297"/>
        <w:gridCol w:w="766"/>
        <w:gridCol w:w="1140"/>
        <w:gridCol w:w="1297"/>
        <w:gridCol w:w="765"/>
      </w:tblGrid>
      <w:tr w:rsidR="00B9071F" w:rsidRPr="00E53977" w14:paraId="68684E61" w14:textId="77777777" w:rsidTr="002771FB">
        <w:trPr>
          <w:trHeight w:val="20"/>
          <w:tblHeader/>
        </w:trPr>
        <w:tc>
          <w:tcPr>
            <w:tcW w:w="1449" w:type="pct"/>
            <w:vMerge w:val="restart"/>
            <w:tcBorders>
              <w:right w:val="single" w:sz="12" w:space="0" w:color="999999" w:themeColor="text1" w:themeTint="66"/>
            </w:tcBorders>
            <w:shd w:val="clear" w:color="auto" w:fill="0070C0"/>
            <w:vAlign w:val="center"/>
            <w:hideMark/>
          </w:tcPr>
          <w:p w14:paraId="596B176B" w14:textId="77777777" w:rsidR="00B9071F" w:rsidRPr="00E53977" w:rsidRDefault="00B9071F" w:rsidP="002771FB">
            <w:pPr>
              <w:widowControl w:val="0"/>
              <w:spacing w:after="0"/>
              <w:jc w:val="center"/>
              <w:rPr>
                <w:rFonts w:cs="Times New Roman"/>
                <w:b/>
                <w:bCs/>
                <w:color w:val="FFFFFF" w:themeColor="background1"/>
                <w:sz w:val="18"/>
                <w:szCs w:val="18"/>
              </w:rPr>
            </w:pPr>
            <w:r w:rsidRPr="00E53977">
              <w:rPr>
                <w:rFonts w:cs="Times New Roman"/>
                <w:b/>
                <w:bCs/>
                <w:color w:val="FFFFFF" w:themeColor="background1"/>
                <w:sz w:val="18"/>
                <w:szCs w:val="18"/>
              </w:rPr>
              <w:t>Results of Laboratory Tests</w:t>
            </w:r>
          </w:p>
        </w:tc>
        <w:tc>
          <w:tcPr>
            <w:tcW w:w="1776" w:type="pct"/>
            <w:gridSpan w:val="3"/>
            <w:tcBorders>
              <w:left w:val="single" w:sz="12" w:space="0" w:color="999999" w:themeColor="text1" w:themeTint="66"/>
              <w:right w:val="single" w:sz="12" w:space="0" w:color="999999" w:themeColor="text1" w:themeTint="66"/>
            </w:tcBorders>
            <w:shd w:val="clear" w:color="auto" w:fill="0070C0"/>
            <w:hideMark/>
          </w:tcPr>
          <w:p w14:paraId="7C6E5C21" w14:textId="77777777" w:rsidR="00B9071F" w:rsidRPr="00E53977" w:rsidRDefault="00B9071F" w:rsidP="002771FB">
            <w:pPr>
              <w:widowControl w:val="0"/>
              <w:spacing w:after="0"/>
              <w:jc w:val="center"/>
              <w:rPr>
                <w:rFonts w:cs="Times New Roman"/>
                <w:b/>
                <w:color w:val="FFFFFF" w:themeColor="background1"/>
                <w:sz w:val="18"/>
                <w:szCs w:val="18"/>
              </w:rPr>
            </w:pPr>
            <w:r w:rsidRPr="00E53977">
              <w:rPr>
                <w:rFonts w:cs="Times New Roman"/>
                <w:b/>
                <w:bCs/>
                <w:color w:val="FFFFFF" w:themeColor="background1"/>
                <w:sz w:val="18"/>
                <w:szCs w:val="18"/>
              </w:rPr>
              <w:t>2016</w:t>
            </w:r>
          </w:p>
        </w:tc>
        <w:tc>
          <w:tcPr>
            <w:tcW w:w="1776" w:type="pct"/>
            <w:gridSpan w:val="3"/>
            <w:tcBorders>
              <w:left w:val="single" w:sz="12" w:space="0" w:color="999999" w:themeColor="text1" w:themeTint="66"/>
            </w:tcBorders>
            <w:shd w:val="clear" w:color="auto" w:fill="0070C0"/>
            <w:hideMark/>
          </w:tcPr>
          <w:p w14:paraId="30D14C49" w14:textId="77777777" w:rsidR="00B9071F" w:rsidRPr="00E53977" w:rsidRDefault="00B9071F" w:rsidP="002771FB">
            <w:pPr>
              <w:widowControl w:val="0"/>
              <w:spacing w:after="0"/>
              <w:jc w:val="center"/>
              <w:rPr>
                <w:rFonts w:cs="Times New Roman"/>
                <w:b/>
                <w:color w:val="FFFFFF" w:themeColor="background1"/>
                <w:sz w:val="18"/>
                <w:szCs w:val="18"/>
              </w:rPr>
            </w:pPr>
            <w:r w:rsidRPr="00E53977">
              <w:rPr>
                <w:rFonts w:cs="Times New Roman"/>
                <w:b/>
                <w:bCs/>
                <w:color w:val="FFFFFF" w:themeColor="background1"/>
                <w:sz w:val="18"/>
                <w:szCs w:val="18"/>
              </w:rPr>
              <w:t>2017</w:t>
            </w:r>
          </w:p>
        </w:tc>
      </w:tr>
      <w:tr w:rsidR="009173DD" w:rsidRPr="00E53977" w14:paraId="1B759B97" w14:textId="77777777" w:rsidTr="002771FB">
        <w:trPr>
          <w:trHeight w:val="20"/>
          <w:tblHeader/>
        </w:trPr>
        <w:tc>
          <w:tcPr>
            <w:tcW w:w="1449" w:type="pct"/>
            <w:vMerge/>
            <w:tcBorders>
              <w:bottom w:val="single" w:sz="12" w:space="0" w:color="A5A5A5" w:themeColor="accent3"/>
              <w:right w:val="single" w:sz="12" w:space="0" w:color="999999" w:themeColor="text1" w:themeTint="66"/>
            </w:tcBorders>
            <w:shd w:val="clear" w:color="auto" w:fill="A50021"/>
            <w:hideMark/>
          </w:tcPr>
          <w:p w14:paraId="0493D27B" w14:textId="77777777" w:rsidR="00B9071F" w:rsidRPr="00E53977" w:rsidRDefault="00B9071F" w:rsidP="002771FB">
            <w:pPr>
              <w:widowControl w:val="0"/>
              <w:spacing w:after="0"/>
              <w:jc w:val="left"/>
              <w:rPr>
                <w:rFonts w:cs="Times New Roman"/>
                <w:sz w:val="18"/>
                <w:szCs w:val="18"/>
              </w:rPr>
            </w:pPr>
          </w:p>
        </w:tc>
        <w:tc>
          <w:tcPr>
            <w:tcW w:w="632" w:type="pct"/>
            <w:tcBorders>
              <w:left w:val="single" w:sz="12" w:space="0" w:color="999999" w:themeColor="text1" w:themeTint="66"/>
              <w:bottom w:val="single" w:sz="12" w:space="0" w:color="A5A5A5" w:themeColor="accent3"/>
            </w:tcBorders>
            <w:shd w:val="clear" w:color="auto" w:fill="D9D9D9" w:themeFill="background1" w:themeFillShade="D9"/>
            <w:hideMark/>
          </w:tcPr>
          <w:p w14:paraId="35FE7A19" w14:textId="77777777" w:rsidR="00B9071F" w:rsidRPr="00E53977" w:rsidRDefault="00B9071F" w:rsidP="002771FB">
            <w:pPr>
              <w:widowControl w:val="0"/>
              <w:spacing w:after="0"/>
              <w:jc w:val="center"/>
              <w:rPr>
                <w:rFonts w:cs="Times New Roman"/>
                <w:sz w:val="18"/>
                <w:szCs w:val="18"/>
              </w:rPr>
            </w:pPr>
            <w:r w:rsidRPr="00E53977">
              <w:rPr>
                <w:rFonts w:cs="Times New Roman"/>
                <w:b/>
                <w:bCs/>
                <w:sz w:val="18"/>
                <w:szCs w:val="18"/>
              </w:rPr>
              <w:t>Number of samples</w:t>
            </w:r>
          </w:p>
          <w:p w14:paraId="7E9EDA82" w14:textId="77777777" w:rsidR="00B9071F" w:rsidRPr="00E53977" w:rsidRDefault="00B9071F" w:rsidP="002771FB">
            <w:pPr>
              <w:widowControl w:val="0"/>
              <w:spacing w:after="0"/>
              <w:jc w:val="center"/>
              <w:rPr>
                <w:rFonts w:cs="Times New Roman"/>
                <w:sz w:val="18"/>
                <w:szCs w:val="18"/>
              </w:rPr>
            </w:pPr>
            <w:r w:rsidRPr="00E53977">
              <w:rPr>
                <w:rFonts w:cs="Times New Roman"/>
                <w:b/>
                <w:bCs/>
                <w:sz w:val="18"/>
                <w:szCs w:val="18"/>
              </w:rPr>
              <w:t>collected</w:t>
            </w:r>
          </w:p>
        </w:tc>
        <w:tc>
          <w:tcPr>
            <w:tcW w:w="719" w:type="pct"/>
            <w:tcBorders>
              <w:bottom w:val="single" w:sz="12" w:space="0" w:color="A5A5A5" w:themeColor="accent3"/>
            </w:tcBorders>
            <w:shd w:val="clear" w:color="auto" w:fill="D9D9D9" w:themeFill="background1" w:themeFillShade="D9"/>
            <w:hideMark/>
          </w:tcPr>
          <w:p w14:paraId="2F31ADBB" w14:textId="77777777" w:rsidR="00B9071F" w:rsidRPr="00E53977" w:rsidRDefault="00B9071F" w:rsidP="002771FB">
            <w:pPr>
              <w:widowControl w:val="0"/>
              <w:spacing w:after="0"/>
              <w:jc w:val="center"/>
              <w:rPr>
                <w:rFonts w:cs="Times New Roman"/>
                <w:sz w:val="18"/>
                <w:szCs w:val="18"/>
              </w:rPr>
            </w:pPr>
            <w:r w:rsidRPr="00E53977">
              <w:rPr>
                <w:rFonts w:cs="Times New Roman"/>
                <w:b/>
                <w:bCs/>
                <w:sz w:val="18"/>
                <w:szCs w:val="18"/>
              </w:rPr>
              <w:t>Non-compliant samples</w:t>
            </w:r>
          </w:p>
        </w:tc>
        <w:tc>
          <w:tcPr>
            <w:tcW w:w="425" w:type="pct"/>
            <w:tcBorders>
              <w:bottom w:val="single" w:sz="12" w:space="0" w:color="A5A5A5" w:themeColor="accent3"/>
              <w:right w:val="single" w:sz="12" w:space="0" w:color="999999" w:themeColor="text1" w:themeTint="66"/>
            </w:tcBorders>
            <w:shd w:val="clear" w:color="auto" w:fill="D9D9D9" w:themeFill="background1" w:themeFillShade="D9"/>
            <w:hideMark/>
          </w:tcPr>
          <w:p w14:paraId="1FE2A631" w14:textId="77777777" w:rsidR="00B9071F" w:rsidRPr="00E53977" w:rsidRDefault="00B9071F" w:rsidP="002771FB">
            <w:pPr>
              <w:widowControl w:val="0"/>
              <w:spacing w:after="0"/>
              <w:jc w:val="center"/>
              <w:rPr>
                <w:rFonts w:cs="Times New Roman"/>
                <w:sz w:val="18"/>
                <w:szCs w:val="18"/>
              </w:rPr>
            </w:pPr>
            <w:r w:rsidRPr="00E53977">
              <w:rPr>
                <w:rFonts w:cs="Times New Roman"/>
                <w:b/>
                <w:bCs/>
                <w:sz w:val="18"/>
                <w:szCs w:val="18"/>
              </w:rPr>
              <w:t>%</w:t>
            </w:r>
          </w:p>
        </w:tc>
        <w:tc>
          <w:tcPr>
            <w:tcW w:w="632" w:type="pct"/>
            <w:tcBorders>
              <w:left w:val="single" w:sz="12" w:space="0" w:color="999999" w:themeColor="text1" w:themeTint="66"/>
              <w:bottom w:val="single" w:sz="12" w:space="0" w:color="A5A5A5" w:themeColor="accent3"/>
            </w:tcBorders>
            <w:shd w:val="clear" w:color="auto" w:fill="D9D9D9" w:themeFill="background1" w:themeFillShade="D9"/>
            <w:hideMark/>
          </w:tcPr>
          <w:p w14:paraId="550E75AC" w14:textId="77777777" w:rsidR="00B9071F" w:rsidRPr="00E53977" w:rsidRDefault="00B9071F" w:rsidP="002771FB">
            <w:pPr>
              <w:widowControl w:val="0"/>
              <w:spacing w:after="0"/>
              <w:jc w:val="center"/>
              <w:rPr>
                <w:rFonts w:cs="Times New Roman"/>
                <w:sz w:val="18"/>
                <w:szCs w:val="18"/>
              </w:rPr>
            </w:pPr>
            <w:r w:rsidRPr="00E53977">
              <w:rPr>
                <w:rFonts w:cs="Times New Roman"/>
                <w:b/>
                <w:bCs/>
                <w:sz w:val="18"/>
                <w:szCs w:val="18"/>
              </w:rPr>
              <w:t>Number of samples</w:t>
            </w:r>
          </w:p>
          <w:p w14:paraId="26C53974" w14:textId="77777777" w:rsidR="00B9071F" w:rsidRPr="00E53977" w:rsidRDefault="00B9071F" w:rsidP="002771FB">
            <w:pPr>
              <w:widowControl w:val="0"/>
              <w:spacing w:after="0"/>
              <w:jc w:val="center"/>
              <w:rPr>
                <w:rFonts w:cs="Times New Roman"/>
                <w:sz w:val="18"/>
                <w:szCs w:val="18"/>
              </w:rPr>
            </w:pPr>
            <w:r w:rsidRPr="00E53977">
              <w:rPr>
                <w:rFonts w:cs="Times New Roman"/>
                <w:b/>
                <w:bCs/>
                <w:sz w:val="18"/>
                <w:szCs w:val="18"/>
              </w:rPr>
              <w:t>collected</w:t>
            </w:r>
          </w:p>
        </w:tc>
        <w:tc>
          <w:tcPr>
            <w:tcW w:w="719" w:type="pct"/>
            <w:tcBorders>
              <w:bottom w:val="single" w:sz="12" w:space="0" w:color="A5A5A5" w:themeColor="accent3"/>
            </w:tcBorders>
            <w:shd w:val="clear" w:color="auto" w:fill="D9D9D9" w:themeFill="background1" w:themeFillShade="D9"/>
            <w:hideMark/>
          </w:tcPr>
          <w:p w14:paraId="7739D52E" w14:textId="77777777" w:rsidR="00B9071F" w:rsidRPr="00E53977" w:rsidRDefault="00B9071F" w:rsidP="002771FB">
            <w:pPr>
              <w:widowControl w:val="0"/>
              <w:spacing w:after="0"/>
              <w:jc w:val="center"/>
              <w:rPr>
                <w:rFonts w:cs="Times New Roman"/>
                <w:sz w:val="18"/>
                <w:szCs w:val="18"/>
              </w:rPr>
            </w:pPr>
            <w:r w:rsidRPr="00E53977">
              <w:rPr>
                <w:rFonts w:cs="Times New Roman"/>
                <w:b/>
                <w:bCs/>
                <w:sz w:val="18"/>
                <w:szCs w:val="18"/>
              </w:rPr>
              <w:t>Non-compliant samples</w:t>
            </w:r>
          </w:p>
        </w:tc>
        <w:tc>
          <w:tcPr>
            <w:tcW w:w="425" w:type="pct"/>
            <w:tcBorders>
              <w:bottom w:val="single" w:sz="12" w:space="0" w:color="A5A5A5" w:themeColor="accent3"/>
            </w:tcBorders>
            <w:shd w:val="clear" w:color="auto" w:fill="D9D9D9" w:themeFill="background1" w:themeFillShade="D9"/>
            <w:hideMark/>
          </w:tcPr>
          <w:p w14:paraId="00B42ED7" w14:textId="77777777" w:rsidR="00B9071F" w:rsidRPr="00E53977" w:rsidRDefault="00B9071F" w:rsidP="002771FB">
            <w:pPr>
              <w:widowControl w:val="0"/>
              <w:spacing w:after="0"/>
              <w:jc w:val="center"/>
              <w:rPr>
                <w:rFonts w:cs="Times New Roman"/>
                <w:sz w:val="18"/>
                <w:szCs w:val="18"/>
              </w:rPr>
            </w:pPr>
            <w:r w:rsidRPr="00E53977">
              <w:rPr>
                <w:rFonts w:cs="Times New Roman"/>
                <w:b/>
                <w:bCs/>
                <w:sz w:val="18"/>
                <w:szCs w:val="18"/>
              </w:rPr>
              <w:t>%</w:t>
            </w:r>
          </w:p>
        </w:tc>
      </w:tr>
      <w:tr w:rsidR="00B9071F" w:rsidRPr="00E53977" w14:paraId="57C6D712" w14:textId="77777777" w:rsidTr="00EC0223">
        <w:trPr>
          <w:trHeight w:val="20"/>
        </w:trPr>
        <w:tc>
          <w:tcPr>
            <w:tcW w:w="1449" w:type="pct"/>
            <w:tcBorders>
              <w:right w:val="single" w:sz="12" w:space="0" w:color="999999" w:themeColor="text1" w:themeTint="66"/>
            </w:tcBorders>
            <w:hideMark/>
          </w:tcPr>
          <w:p w14:paraId="09DEAD27"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Drinking water (tap water and bottled water)</w:t>
            </w:r>
          </w:p>
        </w:tc>
        <w:tc>
          <w:tcPr>
            <w:tcW w:w="632" w:type="pct"/>
            <w:tcBorders>
              <w:left w:val="single" w:sz="12" w:space="0" w:color="999999" w:themeColor="text1" w:themeTint="66"/>
            </w:tcBorders>
            <w:hideMark/>
          </w:tcPr>
          <w:p w14:paraId="3EA5601C"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462 </w:t>
            </w:r>
          </w:p>
        </w:tc>
        <w:tc>
          <w:tcPr>
            <w:tcW w:w="719" w:type="pct"/>
            <w:hideMark/>
          </w:tcPr>
          <w:p w14:paraId="6964F76F"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221 </w:t>
            </w:r>
          </w:p>
        </w:tc>
        <w:tc>
          <w:tcPr>
            <w:tcW w:w="425" w:type="pct"/>
            <w:tcBorders>
              <w:right w:val="single" w:sz="12" w:space="0" w:color="999999" w:themeColor="text1" w:themeTint="66"/>
            </w:tcBorders>
            <w:hideMark/>
          </w:tcPr>
          <w:p w14:paraId="61755D00"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47.8%</w:t>
            </w:r>
          </w:p>
        </w:tc>
        <w:tc>
          <w:tcPr>
            <w:tcW w:w="632" w:type="pct"/>
            <w:tcBorders>
              <w:left w:val="single" w:sz="12" w:space="0" w:color="999999" w:themeColor="text1" w:themeTint="66"/>
            </w:tcBorders>
            <w:shd w:val="clear" w:color="auto" w:fill="auto"/>
          </w:tcPr>
          <w:p w14:paraId="6E7DB69E"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544</w:t>
            </w:r>
          </w:p>
        </w:tc>
        <w:tc>
          <w:tcPr>
            <w:tcW w:w="719" w:type="pct"/>
            <w:shd w:val="clear" w:color="auto" w:fill="auto"/>
          </w:tcPr>
          <w:p w14:paraId="67D3C1A2"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244</w:t>
            </w:r>
          </w:p>
        </w:tc>
        <w:tc>
          <w:tcPr>
            <w:tcW w:w="425" w:type="pct"/>
            <w:shd w:val="clear" w:color="auto" w:fill="auto"/>
          </w:tcPr>
          <w:p w14:paraId="41B855F8"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40.4%</w:t>
            </w:r>
          </w:p>
        </w:tc>
      </w:tr>
      <w:tr w:rsidR="00B9071F" w:rsidRPr="00E53977" w14:paraId="59E064EA" w14:textId="77777777" w:rsidTr="00EC0223">
        <w:trPr>
          <w:trHeight w:val="20"/>
        </w:trPr>
        <w:tc>
          <w:tcPr>
            <w:tcW w:w="1449" w:type="pct"/>
            <w:tcBorders>
              <w:right w:val="single" w:sz="12" w:space="0" w:color="999999" w:themeColor="text1" w:themeTint="66"/>
            </w:tcBorders>
          </w:tcPr>
          <w:p w14:paraId="0235AE6D"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Alcoholic beverages</w:t>
            </w:r>
          </w:p>
        </w:tc>
        <w:tc>
          <w:tcPr>
            <w:tcW w:w="632" w:type="pct"/>
            <w:tcBorders>
              <w:left w:val="single" w:sz="12" w:space="0" w:color="999999" w:themeColor="text1" w:themeTint="66"/>
            </w:tcBorders>
          </w:tcPr>
          <w:p w14:paraId="607139C0"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403 </w:t>
            </w:r>
          </w:p>
        </w:tc>
        <w:tc>
          <w:tcPr>
            <w:tcW w:w="719" w:type="pct"/>
          </w:tcPr>
          <w:p w14:paraId="72C176C2"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53 </w:t>
            </w:r>
          </w:p>
        </w:tc>
        <w:tc>
          <w:tcPr>
            <w:tcW w:w="425" w:type="pct"/>
            <w:tcBorders>
              <w:right w:val="single" w:sz="12" w:space="0" w:color="999999" w:themeColor="text1" w:themeTint="66"/>
            </w:tcBorders>
          </w:tcPr>
          <w:p w14:paraId="02F5D290"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13.2%</w:t>
            </w:r>
          </w:p>
        </w:tc>
        <w:tc>
          <w:tcPr>
            <w:tcW w:w="632" w:type="pct"/>
            <w:tcBorders>
              <w:left w:val="single" w:sz="12" w:space="0" w:color="999999" w:themeColor="text1" w:themeTint="66"/>
            </w:tcBorders>
            <w:shd w:val="clear" w:color="auto" w:fill="auto"/>
          </w:tcPr>
          <w:p w14:paraId="2B9B88F3"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121</w:t>
            </w:r>
          </w:p>
        </w:tc>
        <w:tc>
          <w:tcPr>
            <w:tcW w:w="719" w:type="pct"/>
            <w:shd w:val="clear" w:color="auto" w:fill="auto"/>
          </w:tcPr>
          <w:p w14:paraId="08E19352"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8</w:t>
            </w:r>
          </w:p>
        </w:tc>
        <w:tc>
          <w:tcPr>
            <w:tcW w:w="425" w:type="pct"/>
            <w:shd w:val="clear" w:color="auto" w:fill="auto"/>
          </w:tcPr>
          <w:p w14:paraId="50DD6E61"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6.6%</w:t>
            </w:r>
          </w:p>
        </w:tc>
      </w:tr>
      <w:tr w:rsidR="00B9071F" w:rsidRPr="00E53977" w14:paraId="39D72CCC" w14:textId="77777777" w:rsidTr="00EC0223">
        <w:trPr>
          <w:trHeight w:val="20"/>
        </w:trPr>
        <w:tc>
          <w:tcPr>
            <w:tcW w:w="1449" w:type="pct"/>
            <w:tcBorders>
              <w:right w:val="single" w:sz="12" w:space="0" w:color="999999" w:themeColor="text1" w:themeTint="66"/>
            </w:tcBorders>
            <w:hideMark/>
          </w:tcPr>
          <w:p w14:paraId="108C5182"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Amount of GMO in food</w:t>
            </w:r>
          </w:p>
        </w:tc>
        <w:tc>
          <w:tcPr>
            <w:tcW w:w="632" w:type="pct"/>
            <w:tcBorders>
              <w:left w:val="single" w:sz="12" w:space="0" w:color="999999" w:themeColor="text1" w:themeTint="66"/>
            </w:tcBorders>
            <w:hideMark/>
          </w:tcPr>
          <w:p w14:paraId="721F9C4D"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200 </w:t>
            </w:r>
          </w:p>
        </w:tc>
        <w:tc>
          <w:tcPr>
            <w:tcW w:w="719" w:type="pct"/>
            <w:hideMark/>
          </w:tcPr>
          <w:p w14:paraId="41BC1907"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2 </w:t>
            </w:r>
          </w:p>
        </w:tc>
        <w:tc>
          <w:tcPr>
            <w:tcW w:w="425" w:type="pct"/>
            <w:tcBorders>
              <w:right w:val="single" w:sz="12" w:space="0" w:color="999999" w:themeColor="text1" w:themeTint="66"/>
            </w:tcBorders>
            <w:hideMark/>
          </w:tcPr>
          <w:p w14:paraId="6819007A"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1.0%</w:t>
            </w:r>
          </w:p>
        </w:tc>
        <w:tc>
          <w:tcPr>
            <w:tcW w:w="632" w:type="pct"/>
            <w:tcBorders>
              <w:left w:val="single" w:sz="12" w:space="0" w:color="999999" w:themeColor="text1" w:themeTint="66"/>
            </w:tcBorders>
            <w:shd w:val="clear" w:color="auto" w:fill="auto"/>
          </w:tcPr>
          <w:p w14:paraId="2234277B"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120</w:t>
            </w:r>
          </w:p>
        </w:tc>
        <w:tc>
          <w:tcPr>
            <w:tcW w:w="719" w:type="pct"/>
            <w:shd w:val="clear" w:color="auto" w:fill="auto"/>
          </w:tcPr>
          <w:p w14:paraId="45DB6762"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w:t>
            </w:r>
          </w:p>
        </w:tc>
        <w:tc>
          <w:tcPr>
            <w:tcW w:w="425" w:type="pct"/>
            <w:shd w:val="clear" w:color="auto" w:fill="auto"/>
          </w:tcPr>
          <w:p w14:paraId="0D1A024E"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0.8%</w:t>
            </w:r>
          </w:p>
        </w:tc>
      </w:tr>
      <w:tr w:rsidR="00B9071F" w:rsidRPr="00E53977" w14:paraId="68ABDC14" w14:textId="77777777" w:rsidTr="00EC0223">
        <w:trPr>
          <w:trHeight w:val="20"/>
        </w:trPr>
        <w:tc>
          <w:tcPr>
            <w:tcW w:w="1449" w:type="pct"/>
            <w:tcBorders>
              <w:right w:val="single" w:sz="12" w:space="0" w:color="999999" w:themeColor="text1" w:themeTint="66"/>
            </w:tcBorders>
            <w:hideMark/>
          </w:tcPr>
          <w:p w14:paraId="0EDE6C5F"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Food of non-animal origin</w:t>
            </w:r>
          </w:p>
        </w:tc>
        <w:tc>
          <w:tcPr>
            <w:tcW w:w="632" w:type="pct"/>
            <w:tcBorders>
              <w:left w:val="single" w:sz="12" w:space="0" w:color="999999" w:themeColor="text1" w:themeTint="66"/>
            </w:tcBorders>
            <w:hideMark/>
          </w:tcPr>
          <w:p w14:paraId="05F03F53"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177 </w:t>
            </w:r>
          </w:p>
        </w:tc>
        <w:tc>
          <w:tcPr>
            <w:tcW w:w="719" w:type="pct"/>
            <w:hideMark/>
          </w:tcPr>
          <w:p w14:paraId="6CB9F937"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4 </w:t>
            </w:r>
          </w:p>
        </w:tc>
        <w:tc>
          <w:tcPr>
            <w:tcW w:w="425" w:type="pct"/>
            <w:tcBorders>
              <w:right w:val="single" w:sz="12" w:space="0" w:color="999999" w:themeColor="text1" w:themeTint="66"/>
            </w:tcBorders>
            <w:hideMark/>
          </w:tcPr>
          <w:p w14:paraId="359A974F"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2.3%</w:t>
            </w:r>
          </w:p>
        </w:tc>
        <w:tc>
          <w:tcPr>
            <w:tcW w:w="632" w:type="pct"/>
            <w:tcBorders>
              <w:left w:val="single" w:sz="12" w:space="0" w:color="999999" w:themeColor="text1" w:themeTint="66"/>
            </w:tcBorders>
            <w:shd w:val="clear" w:color="auto" w:fill="auto"/>
          </w:tcPr>
          <w:p w14:paraId="06AB93EF"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499</w:t>
            </w:r>
          </w:p>
        </w:tc>
        <w:tc>
          <w:tcPr>
            <w:tcW w:w="719" w:type="pct"/>
            <w:shd w:val="clear" w:color="auto" w:fill="auto"/>
          </w:tcPr>
          <w:p w14:paraId="7F56F051"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43</w:t>
            </w:r>
          </w:p>
        </w:tc>
        <w:tc>
          <w:tcPr>
            <w:tcW w:w="425" w:type="pct"/>
            <w:shd w:val="clear" w:color="auto" w:fill="auto"/>
          </w:tcPr>
          <w:p w14:paraId="454E51FB"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8.6%</w:t>
            </w:r>
          </w:p>
        </w:tc>
      </w:tr>
      <w:tr w:rsidR="009173DD" w:rsidRPr="00E53977" w14:paraId="6E6B2CB6" w14:textId="77777777" w:rsidTr="00662E7D">
        <w:trPr>
          <w:trHeight w:val="20"/>
        </w:trPr>
        <w:tc>
          <w:tcPr>
            <w:tcW w:w="1449" w:type="pct"/>
            <w:tcBorders>
              <w:right w:val="single" w:sz="12" w:space="0" w:color="999999" w:themeColor="text1" w:themeTint="66"/>
            </w:tcBorders>
            <w:hideMark/>
          </w:tcPr>
          <w:p w14:paraId="2426D990"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Histamine in fish products</w:t>
            </w:r>
          </w:p>
        </w:tc>
        <w:tc>
          <w:tcPr>
            <w:tcW w:w="632" w:type="pct"/>
            <w:tcBorders>
              <w:left w:val="single" w:sz="12" w:space="0" w:color="999999" w:themeColor="text1" w:themeTint="66"/>
            </w:tcBorders>
            <w:hideMark/>
          </w:tcPr>
          <w:p w14:paraId="01752B2E"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25 </w:t>
            </w:r>
          </w:p>
        </w:tc>
        <w:tc>
          <w:tcPr>
            <w:tcW w:w="719" w:type="pct"/>
            <w:hideMark/>
          </w:tcPr>
          <w:p w14:paraId="07062A3A"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 </w:t>
            </w:r>
          </w:p>
        </w:tc>
        <w:tc>
          <w:tcPr>
            <w:tcW w:w="425" w:type="pct"/>
            <w:tcBorders>
              <w:right w:val="single" w:sz="12" w:space="0" w:color="999999" w:themeColor="text1" w:themeTint="66"/>
            </w:tcBorders>
            <w:hideMark/>
          </w:tcPr>
          <w:p w14:paraId="128EB47D"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0.0%</w:t>
            </w:r>
          </w:p>
        </w:tc>
        <w:tc>
          <w:tcPr>
            <w:tcW w:w="632" w:type="pct"/>
            <w:tcBorders>
              <w:left w:val="single" w:sz="12" w:space="0" w:color="999999" w:themeColor="text1" w:themeTint="66"/>
            </w:tcBorders>
            <w:shd w:val="clear" w:color="auto" w:fill="auto"/>
          </w:tcPr>
          <w:p w14:paraId="07AECDFB"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117</w:t>
            </w:r>
          </w:p>
        </w:tc>
        <w:tc>
          <w:tcPr>
            <w:tcW w:w="719" w:type="pct"/>
            <w:shd w:val="clear" w:color="auto" w:fill="auto"/>
          </w:tcPr>
          <w:p w14:paraId="5820D89B"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w:t>
            </w:r>
          </w:p>
        </w:tc>
        <w:tc>
          <w:tcPr>
            <w:tcW w:w="425" w:type="pct"/>
            <w:shd w:val="clear" w:color="auto" w:fill="auto"/>
          </w:tcPr>
          <w:p w14:paraId="7F22A043"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r>
      <w:tr w:rsidR="00B9071F" w:rsidRPr="00E53977" w14:paraId="28439623" w14:textId="77777777" w:rsidTr="00EC0223">
        <w:trPr>
          <w:trHeight w:val="20"/>
        </w:trPr>
        <w:tc>
          <w:tcPr>
            <w:tcW w:w="1449" w:type="pct"/>
            <w:tcBorders>
              <w:right w:val="single" w:sz="12" w:space="0" w:color="999999" w:themeColor="text1" w:themeTint="66"/>
            </w:tcBorders>
          </w:tcPr>
          <w:p w14:paraId="209F446B"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Pesticide residues in food of non-animal origin</w:t>
            </w:r>
          </w:p>
        </w:tc>
        <w:tc>
          <w:tcPr>
            <w:tcW w:w="632" w:type="pct"/>
            <w:tcBorders>
              <w:left w:val="single" w:sz="12" w:space="0" w:color="999999" w:themeColor="text1" w:themeTint="66"/>
            </w:tcBorders>
          </w:tcPr>
          <w:p w14:paraId="191091EB"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71 </w:t>
            </w:r>
          </w:p>
        </w:tc>
        <w:tc>
          <w:tcPr>
            <w:tcW w:w="719" w:type="pct"/>
          </w:tcPr>
          <w:p w14:paraId="2BBA9E11"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1 </w:t>
            </w:r>
          </w:p>
        </w:tc>
        <w:tc>
          <w:tcPr>
            <w:tcW w:w="425" w:type="pct"/>
            <w:tcBorders>
              <w:right w:val="single" w:sz="12" w:space="0" w:color="999999" w:themeColor="text1" w:themeTint="66"/>
            </w:tcBorders>
          </w:tcPr>
          <w:p w14:paraId="314EC6C5"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1.4%</w:t>
            </w:r>
          </w:p>
        </w:tc>
        <w:tc>
          <w:tcPr>
            <w:tcW w:w="632" w:type="pct"/>
            <w:tcBorders>
              <w:left w:val="single" w:sz="12" w:space="0" w:color="999999" w:themeColor="text1" w:themeTint="66"/>
            </w:tcBorders>
            <w:shd w:val="clear" w:color="auto" w:fill="auto"/>
          </w:tcPr>
          <w:p w14:paraId="362C502E"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35</w:t>
            </w:r>
          </w:p>
        </w:tc>
        <w:tc>
          <w:tcPr>
            <w:tcW w:w="719" w:type="pct"/>
            <w:shd w:val="clear" w:color="auto" w:fill="auto"/>
          </w:tcPr>
          <w:p w14:paraId="5D0CBBAB"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w:t>
            </w:r>
          </w:p>
        </w:tc>
        <w:tc>
          <w:tcPr>
            <w:tcW w:w="425" w:type="pct"/>
            <w:shd w:val="clear" w:color="auto" w:fill="auto"/>
          </w:tcPr>
          <w:p w14:paraId="4C88697C"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r>
      <w:tr w:rsidR="009173DD" w:rsidRPr="00E53977" w14:paraId="07203C20" w14:textId="77777777" w:rsidTr="00662E7D">
        <w:trPr>
          <w:trHeight w:val="20"/>
        </w:trPr>
        <w:tc>
          <w:tcPr>
            <w:tcW w:w="1449" w:type="pct"/>
            <w:tcBorders>
              <w:right w:val="single" w:sz="12" w:space="0" w:color="999999" w:themeColor="text1" w:themeTint="66"/>
            </w:tcBorders>
            <w:hideMark/>
          </w:tcPr>
          <w:p w14:paraId="43E37942"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Veterinary drug residues and other contaminants in food of animal origin</w:t>
            </w:r>
          </w:p>
        </w:tc>
        <w:tc>
          <w:tcPr>
            <w:tcW w:w="632" w:type="pct"/>
            <w:tcBorders>
              <w:left w:val="single" w:sz="12" w:space="0" w:color="999999" w:themeColor="text1" w:themeTint="66"/>
            </w:tcBorders>
            <w:hideMark/>
          </w:tcPr>
          <w:p w14:paraId="08AFA9D4"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257 </w:t>
            </w:r>
          </w:p>
        </w:tc>
        <w:tc>
          <w:tcPr>
            <w:tcW w:w="719" w:type="pct"/>
            <w:hideMark/>
          </w:tcPr>
          <w:p w14:paraId="5612DD1E"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138 </w:t>
            </w:r>
          </w:p>
        </w:tc>
        <w:tc>
          <w:tcPr>
            <w:tcW w:w="425" w:type="pct"/>
            <w:tcBorders>
              <w:right w:val="single" w:sz="12" w:space="0" w:color="999999" w:themeColor="text1" w:themeTint="66"/>
            </w:tcBorders>
            <w:hideMark/>
          </w:tcPr>
          <w:p w14:paraId="2CB99D18"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53.7%</w:t>
            </w:r>
          </w:p>
        </w:tc>
        <w:tc>
          <w:tcPr>
            <w:tcW w:w="632" w:type="pct"/>
            <w:tcBorders>
              <w:left w:val="single" w:sz="12" w:space="0" w:color="999999" w:themeColor="text1" w:themeTint="66"/>
            </w:tcBorders>
            <w:shd w:val="clear" w:color="auto" w:fill="auto"/>
          </w:tcPr>
          <w:p w14:paraId="67CC6959"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1,033</w:t>
            </w:r>
          </w:p>
        </w:tc>
        <w:tc>
          <w:tcPr>
            <w:tcW w:w="719" w:type="pct"/>
            <w:shd w:val="clear" w:color="auto" w:fill="auto"/>
          </w:tcPr>
          <w:p w14:paraId="27F26E0D"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401</w:t>
            </w:r>
          </w:p>
        </w:tc>
        <w:tc>
          <w:tcPr>
            <w:tcW w:w="425" w:type="pct"/>
            <w:shd w:val="clear" w:color="auto" w:fill="auto"/>
          </w:tcPr>
          <w:p w14:paraId="1A749FB9"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38.8%</w:t>
            </w:r>
          </w:p>
        </w:tc>
      </w:tr>
      <w:tr w:rsidR="009173DD" w:rsidRPr="00E53977" w14:paraId="6AFEAED4" w14:textId="77777777" w:rsidTr="00662E7D">
        <w:trPr>
          <w:trHeight w:val="20"/>
        </w:trPr>
        <w:tc>
          <w:tcPr>
            <w:tcW w:w="1449" w:type="pct"/>
            <w:tcBorders>
              <w:right w:val="single" w:sz="12" w:space="0" w:color="999999" w:themeColor="text1" w:themeTint="66"/>
            </w:tcBorders>
            <w:hideMark/>
          </w:tcPr>
          <w:p w14:paraId="7AAF48C6"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Veterinary drug residues and other contaminants in honey</w:t>
            </w:r>
          </w:p>
        </w:tc>
        <w:tc>
          <w:tcPr>
            <w:tcW w:w="632" w:type="pct"/>
            <w:tcBorders>
              <w:left w:val="single" w:sz="12" w:space="0" w:color="999999" w:themeColor="text1" w:themeTint="66"/>
            </w:tcBorders>
            <w:hideMark/>
          </w:tcPr>
          <w:p w14:paraId="3187DA21"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122 </w:t>
            </w:r>
          </w:p>
        </w:tc>
        <w:tc>
          <w:tcPr>
            <w:tcW w:w="719" w:type="pct"/>
            <w:hideMark/>
          </w:tcPr>
          <w:p w14:paraId="43C7E3C1"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19 </w:t>
            </w:r>
          </w:p>
        </w:tc>
        <w:tc>
          <w:tcPr>
            <w:tcW w:w="425" w:type="pct"/>
            <w:tcBorders>
              <w:right w:val="single" w:sz="12" w:space="0" w:color="999999" w:themeColor="text1" w:themeTint="66"/>
            </w:tcBorders>
            <w:hideMark/>
          </w:tcPr>
          <w:p w14:paraId="66792CB1"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15.6%</w:t>
            </w:r>
          </w:p>
        </w:tc>
        <w:tc>
          <w:tcPr>
            <w:tcW w:w="632" w:type="pct"/>
            <w:tcBorders>
              <w:left w:val="single" w:sz="12" w:space="0" w:color="999999" w:themeColor="text1" w:themeTint="66"/>
            </w:tcBorders>
            <w:shd w:val="clear" w:color="auto" w:fill="auto"/>
          </w:tcPr>
          <w:p w14:paraId="51B46A60"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129</w:t>
            </w:r>
          </w:p>
        </w:tc>
        <w:tc>
          <w:tcPr>
            <w:tcW w:w="719" w:type="pct"/>
            <w:shd w:val="clear" w:color="auto" w:fill="auto"/>
          </w:tcPr>
          <w:p w14:paraId="1161CA2E"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61</w:t>
            </w:r>
          </w:p>
        </w:tc>
        <w:tc>
          <w:tcPr>
            <w:tcW w:w="425" w:type="pct"/>
            <w:shd w:val="clear" w:color="auto" w:fill="auto"/>
          </w:tcPr>
          <w:p w14:paraId="6F96105D"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47.3%</w:t>
            </w:r>
          </w:p>
        </w:tc>
      </w:tr>
      <w:tr w:rsidR="00B9071F" w:rsidRPr="00E53977" w14:paraId="62DC83C6" w14:textId="77777777" w:rsidTr="00EC0223">
        <w:trPr>
          <w:trHeight w:val="20"/>
        </w:trPr>
        <w:tc>
          <w:tcPr>
            <w:tcW w:w="1449" w:type="pct"/>
            <w:tcBorders>
              <w:right w:val="single" w:sz="12" w:space="0" w:color="999999" w:themeColor="text1" w:themeTint="66"/>
            </w:tcBorders>
          </w:tcPr>
          <w:p w14:paraId="4785DC59" w14:textId="77777777" w:rsidR="00B9071F" w:rsidRPr="00E53977" w:rsidRDefault="00B9071F" w:rsidP="002771FB">
            <w:pPr>
              <w:widowControl w:val="0"/>
              <w:spacing w:after="0"/>
              <w:jc w:val="left"/>
              <w:rPr>
                <w:rFonts w:cs="Times New Roman"/>
                <w:b/>
                <w:i/>
                <w:sz w:val="18"/>
                <w:szCs w:val="18"/>
              </w:rPr>
            </w:pPr>
            <w:r w:rsidRPr="00E53977">
              <w:rPr>
                <w:rFonts w:cs="Times New Roman"/>
                <w:b/>
                <w:i/>
                <w:sz w:val="18"/>
                <w:szCs w:val="18"/>
              </w:rPr>
              <w:t>Salmonella</w:t>
            </w:r>
          </w:p>
        </w:tc>
        <w:tc>
          <w:tcPr>
            <w:tcW w:w="632" w:type="pct"/>
            <w:tcBorders>
              <w:left w:val="single" w:sz="12" w:space="0" w:color="999999" w:themeColor="text1" w:themeTint="66"/>
            </w:tcBorders>
          </w:tcPr>
          <w:p w14:paraId="75631A5F"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639 </w:t>
            </w:r>
          </w:p>
        </w:tc>
        <w:tc>
          <w:tcPr>
            <w:tcW w:w="719" w:type="pct"/>
          </w:tcPr>
          <w:p w14:paraId="75F798C2"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3 </w:t>
            </w:r>
          </w:p>
        </w:tc>
        <w:tc>
          <w:tcPr>
            <w:tcW w:w="425" w:type="pct"/>
            <w:tcBorders>
              <w:right w:val="single" w:sz="12" w:space="0" w:color="999999" w:themeColor="text1" w:themeTint="66"/>
            </w:tcBorders>
          </w:tcPr>
          <w:p w14:paraId="36AC3A32"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0.5%</w:t>
            </w:r>
          </w:p>
        </w:tc>
        <w:tc>
          <w:tcPr>
            <w:tcW w:w="632" w:type="pct"/>
            <w:tcBorders>
              <w:left w:val="single" w:sz="12" w:space="0" w:color="999999" w:themeColor="text1" w:themeTint="66"/>
            </w:tcBorders>
            <w:shd w:val="clear" w:color="auto" w:fill="auto"/>
          </w:tcPr>
          <w:p w14:paraId="0841636A"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1,275</w:t>
            </w:r>
          </w:p>
        </w:tc>
        <w:tc>
          <w:tcPr>
            <w:tcW w:w="719" w:type="pct"/>
            <w:shd w:val="clear" w:color="auto" w:fill="auto"/>
          </w:tcPr>
          <w:p w14:paraId="4F8F856A"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7</w:t>
            </w:r>
          </w:p>
        </w:tc>
        <w:tc>
          <w:tcPr>
            <w:tcW w:w="425" w:type="pct"/>
            <w:shd w:val="clear" w:color="auto" w:fill="auto"/>
          </w:tcPr>
          <w:p w14:paraId="4FFE1E48"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0.5%</w:t>
            </w:r>
          </w:p>
        </w:tc>
      </w:tr>
      <w:tr w:rsidR="00B9071F" w:rsidRPr="00E53977" w14:paraId="2A560C19" w14:textId="77777777" w:rsidTr="00EC0223">
        <w:trPr>
          <w:trHeight w:val="20"/>
        </w:trPr>
        <w:tc>
          <w:tcPr>
            <w:tcW w:w="1449" w:type="pct"/>
            <w:tcBorders>
              <w:right w:val="single" w:sz="12" w:space="0" w:color="999999" w:themeColor="text1" w:themeTint="66"/>
            </w:tcBorders>
          </w:tcPr>
          <w:p w14:paraId="40B8380B" w14:textId="77777777" w:rsidR="00B9071F" w:rsidRPr="00E53977" w:rsidRDefault="00B9071F" w:rsidP="002771FB">
            <w:pPr>
              <w:widowControl w:val="0"/>
              <w:spacing w:after="0"/>
              <w:jc w:val="left"/>
              <w:rPr>
                <w:rFonts w:cs="Times New Roman"/>
                <w:b/>
                <w:i/>
                <w:sz w:val="18"/>
                <w:szCs w:val="18"/>
              </w:rPr>
            </w:pPr>
            <w:r w:rsidRPr="00E53977">
              <w:rPr>
                <w:rFonts w:cs="Times New Roman"/>
                <w:b/>
                <w:i/>
                <w:sz w:val="18"/>
                <w:szCs w:val="18"/>
              </w:rPr>
              <w:t>Listeria monocytogenes</w:t>
            </w:r>
          </w:p>
        </w:tc>
        <w:tc>
          <w:tcPr>
            <w:tcW w:w="632" w:type="pct"/>
            <w:tcBorders>
              <w:left w:val="single" w:sz="12" w:space="0" w:color="999999" w:themeColor="text1" w:themeTint="66"/>
            </w:tcBorders>
          </w:tcPr>
          <w:p w14:paraId="764AD429"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301 </w:t>
            </w:r>
          </w:p>
        </w:tc>
        <w:tc>
          <w:tcPr>
            <w:tcW w:w="719" w:type="pct"/>
          </w:tcPr>
          <w:p w14:paraId="2FBA24C1"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1 </w:t>
            </w:r>
          </w:p>
        </w:tc>
        <w:tc>
          <w:tcPr>
            <w:tcW w:w="425" w:type="pct"/>
            <w:tcBorders>
              <w:right w:val="single" w:sz="12" w:space="0" w:color="999999" w:themeColor="text1" w:themeTint="66"/>
            </w:tcBorders>
          </w:tcPr>
          <w:p w14:paraId="1320BD55"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0.3%</w:t>
            </w:r>
          </w:p>
        </w:tc>
        <w:tc>
          <w:tcPr>
            <w:tcW w:w="632" w:type="pct"/>
            <w:tcBorders>
              <w:left w:val="single" w:sz="12" w:space="0" w:color="999999" w:themeColor="text1" w:themeTint="66"/>
            </w:tcBorders>
            <w:shd w:val="clear" w:color="auto" w:fill="auto"/>
          </w:tcPr>
          <w:p w14:paraId="6A0C28B6"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320</w:t>
            </w:r>
          </w:p>
        </w:tc>
        <w:tc>
          <w:tcPr>
            <w:tcW w:w="719" w:type="pct"/>
            <w:shd w:val="clear" w:color="auto" w:fill="auto"/>
          </w:tcPr>
          <w:p w14:paraId="6F82CF37"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w:t>
            </w:r>
          </w:p>
        </w:tc>
        <w:tc>
          <w:tcPr>
            <w:tcW w:w="425" w:type="pct"/>
            <w:shd w:val="clear" w:color="auto" w:fill="auto"/>
          </w:tcPr>
          <w:p w14:paraId="08546FEA"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r>
      <w:tr w:rsidR="00B9071F" w:rsidRPr="00E53977" w14:paraId="68F3B823" w14:textId="77777777" w:rsidTr="00EC0223">
        <w:trPr>
          <w:trHeight w:val="20"/>
        </w:trPr>
        <w:tc>
          <w:tcPr>
            <w:tcW w:w="1449" w:type="pct"/>
            <w:tcBorders>
              <w:right w:val="single" w:sz="12" w:space="0" w:color="999999" w:themeColor="text1" w:themeTint="66"/>
            </w:tcBorders>
          </w:tcPr>
          <w:p w14:paraId="421AD560" w14:textId="77777777" w:rsidR="00B9071F" w:rsidRPr="00E53977" w:rsidRDefault="00B9071F" w:rsidP="002771FB">
            <w:pPr>
              <w:widowControl w:val="0"/>
              <w:spacing w:after="0"/>
              <w:jc w:val="left"/>
              <w:rPr>
                <w:rFonts w:cs="Times New Roman"/>
                <w:b/>
                <w:i/>
                <w:sz w:val="18"/>
                <w:szCs w:val="18"/>
              </w:rPr>
            </w:pPr>
            <w:r w:rsidRPr="00E53977">
              <w:rPr>
                <w:rFonts w:cs="Times New Roman"/>
                <w:b/>
                <w:i/>
                <w:sz w:val="18"/>
                <w:szCs w:val="18"/>
              </w:rPr>
              <w:t>E. coli</w:t>
            </w:r>
            <w:r w:rsidRPr="00E53977">
              <w:rPr>
                <w:rFonts w:cs="Times New Roman"/>
                <w:b/>
                <w:sz w:val="18"/>
                <w:szCs w:val="18"/>
              </w:rPr>
              <w:t xml:space="preserve"> 0157 in food</w:t>
            </w:r>
          </w:p>
        </w:tc>
        <w:tc>
          <w:tcPr>
            <w:tcW w:w="632" w:type="pct"/>
            <w:tcBorders>
              <w:left w:val="single" w:sz="12" w:space="0" w:color="999999" w:themeColor="text1" w:themeTint="66"/>
            </w:tcBorders>
          </w:tcPr>
          <w:p w14:paraId="1A78A9DB"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150 </w:t>
            </w:r>
          </w:p>
        </w:tc>
        <w:tc>
          <w:tcPr>
            <w:tcW w:w="719" w:type="pct"/>
          </w:tcPr>
          <w:p w14:paraId="2218F234"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 </w:t>
            </w:r>
          </w:p>
        </w:tc>
        <w:tc>
          <w:tcPr>
            <w:tcW w:w="425" w:type="pct"/>
            <w:tcBorders>
              <w:right w:val="single" w:sz="12" w:space="0" w:color="999999" w:themeColor="text1" w:themeTint="66"/>
            </w:tcBorders>
          </w:tcPr>
          <w:p w14:paraId="32107ED9"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0.0%</w:t>
            </w:r>
          </w:p>
        </w:tc>
        <w:tc>
          <w:tcPr>
            <w:tcW w:w="632" w:type="pct"/>
            <w:tcBorders>
              <w:left w:val="single" w:sz="12" w:space="0" w:color="999999" w:themeColor="text1" w:themeTint="66"/>
            </w:tcBorders>
            <w:shd w:val="clear" w:color="auto" w:fill="auto"/>
          </w:tcPr>
          <w:p w14:paraId="3DDF0906"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719" w:type="pct"/>
            <w:shd w:val="clear" w:color="auto" w:fill="auto"/>
          </w:tcPr>
          <w:p w14:paraId="3069FBE1"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425" w:type="pct"/>
            <w:shd w:val="clear" w:color="auto" w:fill="auto"/>
          </w:tcPr>
          <w:p w14:paraId="6CF0B243"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r>
      <w:tr w:rsidR="009173DD" w:rsidRPr="00E53977" w14:paraId="73B8C4F3" w14:textId="77777777" w:rsidTr="00662E7D">
        <w:trPr>
          <w:trHeight w:val="20"/>
        </w:trPr>
        <w:tc>
          <w:tcPr>
            <w:tcW w:w="1449" w:type="pct"/>
            <w:tcBorders>
              <w:right w:val="single" w:sz="12" w:space="0" w:color="999999" w:themeColor="text1" w:themeTint="66"/>
            </w:tcBorders>
            <w:hideMark/>
          </w:tcPr>
          <w:p w14:paraId="68EC0408" w14:textId="77777777" w:rsidR="00B9071F" w:rsidRPr="00E53977" w:rsidRDefault="00B9071F" w:rsidP="002771FB">
            <w:pPr>
              <w:widowControl w:val="0"/>
              <w:spacing w:after="0"/>
              <w:jc w:val="left"/>
              <w:rPr>
                <w:rFonts w:cs="Times New Roman"/>
                <w:b/>
                <w:sz w:val="18"/>
                <w:szCs w:val="18"/>
              </w:rPr>
            </w:pPr>
            <w:r w:rsidRPr="00E53977">
              <w:rPr>
                <w:rFonts w:cs="Times New Roman"/>
                <w:b/>
                <w:i/>
                <w:sz w:val="18"/>
                <w:szCs w:val="18"/>
              </w:rPr>
              <w:t>Brucella</w:t>
            </w:r>
            <w:r w:rsidRPr="00E53977">
              <w:rPr>
                <w:rFonts w:cs="Times New Roman"/>
                <w:b/>
                <w:sz w:val="18"/>
                <w:szCs w:val="18"/>
              </w:rPr>
              <w:t xml:space="preserve"> in raw milk</w:t>
            </w:r>
          </w:p>
        </w:tc>
        <w:tc>
          <w:tcPr>
            <w:tcW w:w="632" w:type="pct"/>
            <w:tcBorders>
              <w:left w:val="single" w:sz="12" w:space="0" w:color="999999" w:themeColor="text1" w:themeTint="66"/>
            </w:tcBorders>
            <w:hideMark/>
          </w:tcPr>
          <w:p w14:paraId="4163A7A2"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65 </w:t>
            </w:r>
          </w:p>
        </w:tc>
        <w:tc>
          <w:tcPr>
            <w:tcW w:w="719" w:type="pct"/>
            <w:hideMark/>
          </w:tcPr>
          <w:p w14:paraId="2722CDF1"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16 </w:t>
            </w:r>
          </w:p>
        </w:tc>
        <w:tc>
          <w:tcPr>
            <w:tcW w:w="425" w:type="pct"/>
            <w:tcBorders>
              <w:right w:val="single" w:sz="12" w:space="0" w:color="999999" w:themeColor="text1" w:themeTint="66"/>
            </w:tcBorders>
            <w:hideMark/>
          </w:tcPr>
          <w:p w14:paraId="7D435317"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24.6%</w:t>
            </w:r>
          </w:p>
        </w:tc>
        <w:tc>
          <w:tcPr>
            <w:tcW w:w="632" w:type="pct"/>
            <w:tcBorders>
              <w:left w:val="single" w:sz="12" w:space="0" w:color="999999" w:themeColor="text1" w:themeTint="66"/>
            </w:tcBorders>
            <w:shd w:val="clear" w:color="auto" w:fill="auto"/>
          </w:tcPr>
          <w:p w14:paraId="1AD79092"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68</w:t>
            </w:r>
          </w:p>
        </w:tc>
        <w:tc>
          <w:tcPr>
            <w:tcW w:w="719" w:type="pct"/>
            <w:shd w:val="clear" w:color="auto" w:fill="auto"/>
          </w:tcPr>
          <w:p w14:paraId="5AD1E437"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7</w:t>
            </w:r>
          </w:p>
        </w:tc>
        <w:tc>
          <w:tcPr>
            <w:tcW w:w="425" w:type="pct"/>
            <w:shd w:val="clear" w:color="auto" w:fill="auto"/>
          </w:tcPr>
          <w:p w14:paraId="412CEE24"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10.3%</w:t>
            </w:r>
          </w:p>
        </w:tc>
      </w:tr>
      <w:tr w:rsidR="00B9071F" w:rsidRPr="00E53977" w14:paraId="4635ECF4" w14:textId="77777777" w:rsidTr="00EC0223">
        <w:trPr>
          <w:trHeight w:val="20"/>
        </w:trPr>
        <w:tc>
          <w:tcPr>
            <w:tcW w:w="1449" w:type="pct"/>
            <w:tcBorders>
              <w:right w:val="single" w:sz="12" w:space="0" w:color="999999" w:themeColor="text1" w:themeTint="66"/>
            </w:tcBorders>
          </w:tcPr>
          <w:p w14:paraId="1268915F" w14:textId="77777777" w:rsidR="00B9071F" w:rsidRPr="00E53977" w:rsidRDefault="00B9071F" w:rsidP="002771FB">
            <w:pPr>
              <w:widowControl w:val="0"/>
              <w:spacing w:after="0"/>
              <w:jc w:val="left"/>
              <w:rPr>
                <w:rFonts w:cs="Times New Roman"/>
                <w:b/>
                <w:sz w:val="18"/>
                <w:szCs w:val="18"/>
              </w:rPr>
            </w:pPr>
            <w:r w:rsidRPr="00E53977">
              <w:rPr>
                <w:rFonts w:cs="Times New Roman"/>
                <w:b/>
                <w:i/>
                <w:sz w:val="18"/>
                <w:szCs w:val="18"/>
              </w:rPr>
              <w:t>Staphylococcus</w:t>
            </w:r>
            <w:r w:rsidRPr="00E53977">
              <w:rPr>
                <w:rFonts w:cs="Times New Roman"/>
                <w:b/>
                <w:sz w:val="18"/>
                <w:szCs w:val="18"/>
              </w:rPr>
              <w:t xml:space="preserve"> Enterotoxin </w:t>
            </w:r>
          </w:p>
        </w:tc>
        <w:tc>
          <w:tcPr>
            <w:tcW w:w="632" w:type="pct"/>
            <w:tcBorders>
              <w:left w:val="single" w:sz="12" w:space="0" w:color="999999" w:themeColor="text1" w:themeTint="66"/>
            </w:tcBorders>
          </w:tcPr>
          <w:p w14:paraId="509D9CFD"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719" w:type="pct"/>
          </w:tcPr>
          <w:p w14:paraId="499C6795"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425" w:type="pct"/>
            <w:tcBorders>
              <w:right w:val="single" w:sz="12" w:space="0" w:color="999999" w:themeColor="text1" w:themeTint="66"/>
            </w:tcBorders>
          </w:tcPr>
          <w:p w14:paraId="103E9886"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632" w:type="pct"/>
            <w:tcBorders>
              <w:left w:val="single" w:sz="12" w:space="0" w:color="999999" w:themeColor="text1" w:themeTint="66"/>
            </w:tcBorders>
            <w:shd w:val="clear" w:color="auto" w:fill="auto"/>
          </w:tcPr>
          <w:p w14:paraId="4C6DF48B"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65</w:t>
            </w:r>
          </w:p>
        </w:tc>
        <w:tc>
          <w:tcPr>
            <w:tcW w:w="719" w:type="pct"/>
            <w:shd w:val="clear" w:color="auto" w:fill="auto"/>
          </w:tcPr>
          <w:p w14:paraId="314B4440"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w:t>
            </w:r>
          </w:p>
        </w:tc>
        <w:tc>
          <w:tcPr>
            <w:tcW w:w="425" w:type="pct"/>
            <w:shd w:val="clear" w:color="auto" w:fill="auto"/>
          </w:tcPr>
          <w:p w14:paraId="2F86173B"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r>
      <w:tr w:rsidR="00B9071F" w:rsidRPr="00E53977" w14:paraId="2A56A529" w14:textId="77777777" w:rsidTr="00EC0223">
        <w:trPr>
          <w:trHeight w:val="20"/>
        </w:trPr>
        <w:tc>
          <w:tcPr>
            <w:tcW w:w="1449" w:type="pct"/>
            <w:tcBorders>
              <w:right w:val="single" w:sz="12" w:space="0" w:color="999999" w:themeColor="text1" w:themeTint="66"/>
            </w:tcBorders>
          </w:tcPr>
          <w:p w14:paraId="1DD0212A"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Testing of sanitary indicators and conditional pathogens (</w:t>
            </w:r>
            <w:r w:rsidRPr="00E53977">
              <w:rPr>
                <w:rFonts w:cs="Times New Roman"/>
                <w:sz w:val="18"/>
                <w:szCs w:val="18"/>
              </w:rPr>
              <w:t xml:space="preserve">might include also </w:t>
            </w:r>
            <w:r w:rsidRPr="00E53977">
              <w:rPr>
                <w:rFonts w:cs="Times New Roman"/>
                <w:i/>
                <w:sz w:val="18"/>
                <w:szCs w:val="18"/>
              </w:rPr>
              <w:t>E.coli)</w:t>
            </w:r>
          </w:p>
        </w:tc>
        <w:tc>
          <w:tcPr>
            <w:tcW w:w="632" w:type="pct"/>
            <w:tcBorders>
              <w:left w:val="single" w:sz="12" w:space="0" w:color="999999" w:themeColor="text1" w:themeTint="66"/>
            </w:tcBorders>
          </w:tcPr>
          <w:p w14:paraId="5494F789"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719" w:type="pct"/>
          </w:tcPr>
          <w:p w14:paraId="71E93435"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425" w:type="pct"/>
            <w:tcBorders>
              <w:right w:val="single" w:sz="12" w:space="0" w:color="999999" w:themeColor="text1" w:themeTint="66"/>
            </w:tcBorders>
          </w:tcPr>
          <w:p w14:paraId="1A84D59C"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632" w:type="pct"/>
            <w:tcBorders>
              <w:left w:val="single" w:sz="12" w:space="0" w:color="999999" w:themeColor="text1" w:themeTint="66"/>
            </w:tcBorders>
            <w:shd w:val="clear" w:color="auto" w:fill="auto"/>
          </w:tcPr>
          <w:p w14:paraId="75037AFD"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53</w:t>
            </w:r>
          </w:p>
        </w:tc>
        <w:tc>
          <w:tcPr>
            <w:tcW w:w="719" w:type="pct"/>
            <w:shd w:val="clear" w:color="auto" w:fill="auto"/>
          </w:tcPr>
          <w:p w14:paraId="21923A64"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24</w:t>
            </w:r>
          </w:p>
        </w:tc>
        <w:tc>
          <w:tcPr>
            <w:tcW w:w="425" w:type="pct"/>
            <w:shd w:val="clear" w:color="auto" w:fill="auto"/>
          </w:tcPr>
          <w:p w14:paraId="01D6D930"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45.3%</w:t>
            </w:r>
          </w:p>
        </w:tc>
      </w:tr>
      <w:tr w:rsidR="00B9071F" w:rsidRPr="00E53977" w14:paraId="712AEA01" w14:textId="77777777" w:rsidTr="00EC0223">
        <w:trPr>
          <w:trHeight w:val="20"/>
        </w:trPr>
        <w:tc>
          <w:tcPr>
            <w:tcW w:w="1449" w:type="pct"/>
            <w:tcBorders>
              <w:right w:val="single" w:sz="12" w:space="0" w:color="999999" w:themeColor="text1" w:themeTint="66"/>
            </w:tcBorders>
          </w:tcPr>
          <w:p w14:paraId="590ADB81"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Meat type identification</w:t>
            </w:r>
          </w:p>
        </w:tc>
        <w:tc>
          <w:tcPr>
            <w:tcW w:w="632" w:type="pct"/>
            <w:tcBorders>
              <w:left w:val="single" w:sz="12" w:space="0" w:color="999999" w:themeColor="text1" w:themeTint="66"/>
            </w:tcBorders>
          </w:tcPr>
          <w:p w14:paraId="1093CAE5"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100 </w:t>
            </w:r>
          </w:p>
        </w:tc>
        <w:tc>
          <w:tcPr>
            <w:tcW w:w="719" w:type="pct"/>
          </w:tcPr>
          <w:p w14:paraId="10DB5D4E"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4 </w:t>
            </w:r>
          </w:p>
        </w:tc>
        <w:tc>
          <w:tcPr>
            <w:tcW w:w="425" w:type="pct"/>
            <w:tcBorders>
              <w:right w:val="single" w:sz="12" w:space="0" w:color="999999" w:themeColor="text1" w:themeTint="66"/>
            </w:tcBorders>
          </w:tcPr>
          <w:p w14:paraId="4A972FF5"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4.0%</w:t>
            </w:r>
          </w:p>
        </w:tc>
        <w:tc>
          <w:tcPr>
            <w:tcW w:w="632" w:type="pct"/>
            <w:tcBorders>
              <w:left w:val="single" w:sz="12" w:space="0" w:color="999999" w:themeColor="text1" w:themeTint="66"/>
            </w:tcBorders>
            <w:shd w:val="clear" w:color="auto" w:fill="auto"/>
          </w:tcPr>
          <w:p w14:paraId="2517B3CE"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90</w:t>
            </w:r>
          </w:p>
        </w:tc>
        <w:tc>
          <w:tcPr>
            <w:tcW w:w="719" w:type="pct"/>
            <w:shd w:val="clear" w:color="auto" w:fill="auto"/>
          </w:tcPr>
          <w:p w14:paraId="1959AB99"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12</w:t>
            </w:r>
          </w:p>
        </w:tc>
        <w:tc>
          <w:tcPr>
            <w:tcW w:w="425" w:type="pct"/>
            <w:shd w:val="clear" w:color="auto" w:fill="auto"/>
          </w:tcPr>
          <w:p w14:paraId="2018C42E"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13.3%</w:t>
            </w:r>
          </w:p>
        </w:tc>
      </w:tr>
      <w:tr w:rsidR="00B9071F" w:rsidRPr="00E53977" w14:paraId="57DF2065" w14:textId="77777777" w:rsidTr="00EC0223">
        <w:trPr>
          <w:trHeight w:val="20"/>
        </w:trPr>
        <w:tc>
          <w:tcPr>
            <w:tcW w:w="1449" w:type="pct"/>
            <w:tcBorders>
              <w:right w:val="single" w:sz="12" w:space="0" w:color="999999" w:themeColor="text1" w:themeTint="66"/>
            </w:tcBorders>
          </w:tcPr>
          <w:p w14:paraId="16602BA4"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Bone content in meat products</w:t>
            </w:r>
          </w:p>
        </w:tc>
        <w:tc>
          <w:tcPr>
            <w:tcW w:w="632" w:type="pct"/>
            <w:tcBorders>
              <w:left w:val="single" w:sz="12" w:space="0" w:color="999999" w:themeColor="text1" w:themeTint="66"/>
            </w:tcBorders>
          </w:tcPr>
          <w:p w14:paraId="0276EF0D"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40 </w:t>
            </w:r>
          </w:p>
        </w:tc>
        <w:tc>
          <w:tcPr>
            <w:tcW w:w="719" w:type="pct"/>
          </w:tcPr>
          <w:p w14:paraId="27BD693E"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 </w:t>
            </w:r>
          </w:p>
        </w:tc>
        <w:tc>
          <w:tcPr>
            <w:tcW w:w="425" w:type="pct"/>
            <w:tcBorders>
              <w:right w:val="single" w:sz="12" w:space="0" w:color="999999" w:themeColor="text1" w:themeTint="66"/>
            </w:tcBorders>
          </w:tcPr>
          <w:p w14:paraId="287B26C0"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0.0%</w:t>
            </w:r>
          </w:p>
        </w:tc>
        <w:tc>
          <w:tcPr>
            <w:tcW w:w="632" w:type="pct"/>
            <w:tcBorders>
              <w:left w:val="single" w:sz="12" w:space="0" w:color="999999" w:themeColor="text1" w:themeTint="66"/>
            </w:tcBorders>
            <w:shd w:val="clear" w:color="auto" w:fill="auto"/>
          </w:tcPr>
          <w:p w14:paraId="178A5936"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30</w:t>
            </w:r>
          </w:p>
        </w:tc>
        <w:tc>
          <w:tcPr>
            <w:tcW w:w="719" w:type="pct"/>
            <w:shd w:val="clear" w:color="auto" w:fill="auto"/>
          </w:tcPr>
          <w:p w14:paraId="318D2EB5"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w:t>
            </w:r>
          </w:p>
        </w:tc>
        <w:tc>
          <w:tcPr>
            <w:tcW w:w="425" w:type="pct"/>
            <w:shd w:val="clear" w:color="auto" w:fill="auto"/>
          </w:tcPr>
          <w:p w14:paraId="1045912D"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r>
      <w:tr w:rsidR="00B9071F" w:rsidRPr="00E53977" w14:paraId="375908E1" w14:textId="77777777" w:rsidTr="00EC0223">
        <w:trPr>
          <w:trHeight w:val="20"/>
        </w:trPr>
        <w:tc>
          <w:tcPr>
            <w:tcW w:w="1449" w:type="pct"/>
            <w:tcBorders>
              <w:right w:val="single" w:sz="12" w:space="0" w:color="999999" w:themeColor="text1" w:themeTint="66"/>
            </w:tcBorders>
          </w:tcPr>
          <w:p w14:paraId="25EAB39C"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Vegetable fats in dairy products</w:t>
            </w:r>
          </w:p>
        </w:tc>
        <w:tc>
          <w:tcPr>
            <w:tcW w:w="632" w:type="pct"/>
            <w:tcBorders>
              <w:left w:val="single" w:sz="12" w:space="0" w:color="999999" w:themeColor="text1" w:themeTint="66"/>
            </w:tcBorders>
          </w:tcPr>
          <w:p w14:paraId="37F9373F"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250 </w:t>
            </w:r>
          </w:p>
        </w:tc>
        <w:tc>
          <w:tcPr>
            <w:tcW w:w="719" w:type="pct"/>
          </w:tcPr>
          <w:p w14:paraId="6EC941FA"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 xml:space="preserve"> 17 </w:t>
            </w:r>
          </w:p>
        </w:tc>
        <w:tc>
          <w:tcPr>
            <w:tcW w:w="425" w:type="pct"/>
            <w:tcBorders>
              <w:right w:val="single" w:sz="12" w:space="0" w:color="999999" w:themeColor="text1" w:themeTint="66"/>
            </w:tcBorders>
          </w:tcPr>
          <w:p w14:paraId="39F508B6"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6.8%</w:t>
            </w:r>
          </w:p>
        </w:tc>
        <w:tc>
          <w:tcPr>
            <w:tcW w:w="632" w:type="pct"/>
            <w:tcBorders>
              <w:left w:val="single" w:sz="12" w:space="0" w:color="999999" w:themeColor="text1" w:themeTint="66"/>
            </w:tcBorders>
            <w:shd w:val="clear" w:color="auto" w:fill="auto"/>
          </w:tcPr>
          <w:p w14:paraId="085BEF62"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105</w:t>
            </w:r>
          </w:p>
        </w:tc>
        <w:tc>
          <w:tcPr>
            <w:tcW w:w="719" w:type="pct"/>
            <w:shd w:val="clear" w:color="auto" w:fill="auto"/>
          </w:tcPr>
          <w:p w14:paraId="49FB3E18"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0</w:t>
            </w:r>
          </w:p>
        </w:tc>
        <w:tc>
          <w:tcPr>
            <w:tcW w:w="425" w:type="pct"/>
            <w:shd w:val="clear" w:color="auto" w:fill="auto"/>
          </w:tcPr>
          <w:p w14:paraId="468A0119"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r>
      <w:tr w:rsidR="00B9071F" w:rsidRPr="00E53977" w14:paraId="790618AC" w14:textId="77777777" w:rsidTr="00EC0223">
        <w:trPr>
          <w:trHeight w:val="20"/>
        </w:trPr>
        <w:tc>
          <w:tcPr>
            <w:tcW w:w="1449" w:type="pct"/>
            <w:tcBorders>
              <w:right w:val="single" w:sz="12" w:space="0" w:color="999999" w:themeColor="text1" w:themeTint="66"/>
            </w:tcBorders>
          </w:tcPr>
          <w:p w14:paraId="6DB66FAF" w14:textId="77777777" w:rsidR="00B9071F" w:rsidRPr="00E53977" w:rsidRDefault="00B9071F" w:rsidP="002771FB">
            <w:pPr>
              <w:widowControl w:val="0"/>
              <w:spacing w:after="0"/>
              <w:jc w:val="left"/>
              <w:rPr>
                <w:rFonts w:cs="Times New Roman"/>
                <w:b/>
                <w:sz w:val="18"/>
                <w:szCs w:val="18"/>
              </w:rPr>
            </w:pPr>
            <w:r w:rsidRPr="00E53977">
              <w:rPr>
                <w:rFonts w:cs="Times New Roman"/>
                <w:b/>
                <w:sz w:val="18"/>
                <w:szCs w:val="18"/>
              </w:rPr>
              <w:t>Detection of milk powder in cheese</w:t>
            </w:r>
          </w:p>
        </w:tc>
        <w:tc>
          <w:tcPr>
            <w:tcW w:w="632" w:type="pct"/>
            <w:tcBorders>
              <w:left w:val="single" w:sz="12" w:space="0" w:color="999999" w:themeColor="text1" w:themeTint="66"/>
            </w:tcBorders>
          </w:tcPr>
          <w:p w14:paraId="0AE78583"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719" w:type="pct"/>
          </w:tcPr>
          <w:p w14:paraId="6EF9ACA8"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425" w:type="pct"/>
            <w:tcBorders>
              <w:right w:val="single" w:sz="12" w:space="0" w:color="999999" w:themeColor="text1" w:themeTint="66"/>
            </w:tcBorders>
          </w:tcPr>
          <w:p w14:paraId="7B61A077"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632" w:type="pct"/>
            <w:tcBorders>
              <w:left w:val="single" w:sz="12" w:space="0" w:color="999999" w:themeColor="text1" w:themeTint="66"/>
            </w:tcBorders>
            <w:shd w:val="clear" w:color="auto" w:fill="auto"/>
          </w:tcPr>
          <w:p w14:paraId="6B55E3BF"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21</w:t>
            </w:r>
          </w:p>
        </w:tc>
        <w:tc>
          <w:tcPr>
            <w:tcW w:w="719" w:type="pct"/>
            <w:shd w:val="clear" w:color="auto" w:fill="auto"/>
          </w:tcPr>
          <w:p w14:paraId="590F1397"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10</w:t>
            </w:r>
          </w:p>
        </w:tc>
        <w:tc>
          <w:tcPr>
            <w:tcW w:w="425" w:type="pct"/>
            <w:shd w:val="clear" w:color="auto" w:fill="auto"/>
          </w:tcPr>
          <w:p w14:paraId="326F75C7"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47.6%</w:t>
            </w:r>
          </w:p>
        </w:tc>
      </w:tr>
      <w:tr w:rsidR="00B9071F" w:rsidRPr="00E53977" w14:paraId="58438ACD" w14:textId="77777777" w:rsidTr="00EC0223">
        <w:trPr>
          <w:trHeight w:val="20"/>
        </w:trPr>
        <w:tc>
          <w:tcPr>
            <w:tcW w:w="1449" w:type="pct"/>
            <w:tcBorders>
              <w:right w:val="single" w:sz="12" w:space="0" w:color="999999" w:themeColor="text1" w:themeTint="66"/>
            </w:tcBorders>
          </w:tcPr>
          <w:p w14:paraId="79ED8653" w14:textId="77777777" w:rsidR="00B9071F" w:rsidRPr="00E53977" w:rsidRDefault="00B9071F" w:rsidP="002771FB">
            <w:pPr>
              <w:widowControl w:val="0"/>
              <w:spacing w:after="0"/>
              <w:jc w:val="left"/>
              <w:rPr>
                <w:rFonts w:cs="Times New Roman"/>
                <w:sz w:val="18"/>
                <w:szCs w:val="18"/>
              </w:rPr>
            </w:pPr>
            <w:r w:rsidRPr="00E53977">
              <w:rPr>
                <w:rFonts w:cs="Times New Roman"/>
                <w:b/>
                <w:sz w:val="18"/>
                <w:szCs w:val="18"/>
              </w:rPr>
              <w:t>Determination of industrial trans-fat content</w:t>
            </w:r>
          </w:p>
        </w:tc>
        <w:tc>
          <w:tcPr>
            <w:tcW w:w="632" w:type="pct"/>
            <w:tcBorders>
              <w:left w:val="single" w:sz="12" w:space="0" w:color="999999" w:themeColor="text1" w:themeTint="66"/>
            </w:tcBorders>
          </w:tcPr>
          <w:p w14:paraId="28472A7F"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719" w:type="pct"/>
          </w:tcPr>
          <w:p w14:paraId="4D3605DB"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425" w:type="pct"/>
            <w:tcBorders>
              <w:right w:val="single" w:sz="12" w:space="0" w:color="999999" w:themeColor="text1" w:themeTint="66"/>
            </w:tcBorders>
          </w:tcPr>
          <w:p w14:paraId="2C8B737C"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w:t>
            </w:r>
          </w:p>
        </w:tc>
        <w:tc>
          <w:tcPr>
            <w:tcW w:w="632" w:type="pct"/>
            <w:tcBorders>
              <w:left w:val="single" w:sz="12" w:space="0" w:color="999999" w:themeColor="text1" w:themeTint="66"/>
            </w:tcBorders>
            <w:shd w:val="clear" w:color="auto" w:fill="auto"/>
          </w:tcPr>
          <w:p w14:paraId="7CDA161D"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136</w:t>
            </w:r>
          </w:p>
        </w:tc>
        <w:tc>
          <w:tcPr>
            <w:tcW w:w="719" w:type="pct"/>
            <w:shd w:val="clear" w:color="auto" w:fill="auto"/>
          </w:tcPr>
          <w:p w14:paraId="558F4DF8"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13</w:t>
            </w:r>
          </w:p>
        </w:tc>
        <w:tc>
          <w:tcPr>
            <w:tcW w:w="425" w:type="pct"/>
            <w:shd w:val="clear" w:color="auto" w:fill="auto"/>
          </w:tcPr>
          <w:p w14:paraId="75AF119C"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9.5%</w:t>
            </w:r>
          </w:p>
        </w:tc>
      </w:tr>
      <w:tr w:rsidR="009173DD" w:rsidRPr="00E53977" w14:paraId="1482719B" w14:textId="77777777" w:rsidTr="00662E7D">
        <w:trPr>
          <w:cnfStyle w:val="010000000000" w:firstRow="0" w:lastRow="1" w:firstColumn="0" w:lastColumn="0" w:oddVBand="0" w:evenVBand="0" w:oddHBand="0" w:evenHBand="0" w:firstRowFirstColumn="0" w:firstRowLastColumn="0" w:lastRowFirstColumn="0" w:lastRowLastColumn="0"/>
          <w:trHeight w:val="362"/>
        </w:trPr>
        <w:tc>
          <w:tcPr>
            <w:tcW w:w="1449" w:type="pct"/>
            <w:tcBorders>
              <w:right w:val="single" w:sz="12" w:space="0" w:color="999999" w:themeColor="text1" w:themeTint="66"/>
            </w:tcBorders>
            <w:shd w:val="clear" w:color="auto" w:fill="FFF2CC" w:themeFill="accent4" w:themeFillTint="33"/>
            <w:vAlign w:val="center"/>
          </w:tcPr>
          <w:p w14:paraId="3230C180"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Total</w:t>
            </w:r>
          </w:p>
        </w:tc>
        <w:tc>
          <w:tcPr>
            <w:tcW w:w="632" w:type="pct"/>
            <w:tcBorders>
              <w:left w:val="single" w:sz="12" w:space="0" w:color="999999" w:themeColor="text1" w:themeTint="66"/>
            </w:tcBorders>
            <w:shd w:val="clear" w:color="auto" w:fill="FFF2CC" w:themeFill="accent4" w:themeFillTint="33"/>
            <w:vAlign w:val="center"/>
          </w:tcPr>
          <w:p w14:paraId="137C1BFA"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3,262</w:t>
            </w:r>
          </w:p>
        </w:tc>
        <w:tc>
          <w:tcPr>
            <w:tcW w:w="719" w:type="pct"/>
            <w:shd w:val="clear" w:color="auto" w:fill="FFF2CC" w:themeFill="accent4" w:themeFillTint="33"/>
            <w:vAlign w:val="center"/>
          </w:tcPr>
          <w:p w14:paraId="1B49FC72"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479</w:t>
            </w:r>
          </w:p>
        </w:tc>
        <w:tc>
          <w:tcPr>
            <w:tcW w:w="425" w:type="pct"/>
            <w:tcBorders>
              <w:right w:val="single" w:sz="12" w:space="0" w:color="999999" w:themeColor="text1" w:themeTint="66"/>
            </w:tcBorders>
            <w:shd w:val="clear" w:color="auto" w:fill="FFF2CC" w:themeFill="accent4" w:themeFillTint="33"/>
            <w:vAlign w:val="center"/>
          </w:tcPr>
          <w:p w14:paraId="006664DB"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14.7%</w:t>
            </w:r>
          </w:p>
        </w:tc>
        <w:tc>
          <w:tcPr>
            <w:tcW w:w="632" w:type="pct"/>
            <w:tcBorders>
              <w:left w:val="single" w:sz="12" w:space="0" w:color="999999" w:themeColor="text1" w:themeTint="66"/>
            </w:tcBorders>
            <w:shd w:val="clear" w:color="auto" w:fill="FFF2CC" w:themeFill="accent4" w:themeFillTint="33"/>
            <w:vAlign w:val="center"/>
          </w:tcPr>
          <w:p w14:paraId="7337C4F3"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4,761</w:t>
            </w:r>
          </w:p>
        </w:tc>
        <w:tc>
          <w:tcPr>
            <w:tcW w:w="719" w:type="pct"/>
            <w:shd w:val="clear" w:color="auto" w:fill="FFF2CC" w:themeFill="accent4" w:themeFillTint="33"/>
            <w:vAlign w:val="center"/>
          </w:tcPr>
          <w:p w14:paraId="3D8BA29A"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811</w:t>
            </w:r>
          </w:p>
        </w:tc>
        <w:tc>
          <w:tcPr>
            <w:tcW w:w="425" w:type="pct"/>
            <w:shd w:val="clear" w:color="auto" w:fill="FFF2CC" w:themeFill="accent4" w:themeFillTint="33"/>
            <w:vAlign w:val="center"/>
          </w:tcPr>
          <w:p w14:paraId="30E9CDA1" w14:textId="77777777" w:rsidR="00B9071F" w:rsidRPr="00E53977" w:rsidRDefault="00B9071F" w:rsidP="002771FB">
            <w:pPr>
              <w:widowControl w:val="0"/>
              <w:spacing w:after="0"/>
              <w:jc w:val="right"/>
              <w:rPr>
                <w:rFonts w:cs="Times New Roman"/>
                <w:sz w:val="18"/>
                <w:szCs w:val="18"/>
              </w:rPr>
            </w:pPr>
            <w:r w:rsidRPr="00E53977">
              <w:rPr>
                <w:rFonts w:cs="Times New Roman"/>
                <w:sz w:val="18"/>
                <w:szCs w:val="18"/>
              </w:rPr>
              <w:t>17.0%</w:t>
            </w:r>
          </w:p>
        </w:tc>
      </w:tr>
    </w:tbl>
    <w:p w14:paraId="6B4D1229" w14:textId="77777777" w:rsidR="00B9071F" w:rsidRPr="00E53977" w:rsidRDefault="00B9071F" w:rsidP="002771FB">
      <w:pPr>
        <w:widowControl w:val="0"/>
        <w:jc w:val="left"/>
      </w:pPr>
    </w:p>
    <w:p w14:paraId="03130F00" w14:textId="1AF108AC" w:rsidR="00504B28" w:rsidRPr="00E53977" w:rsidRDefault="00504B28" w:rsidP="002771FB">
      <w:pPr>
        <w:widowControl w:val="0"/>
        <w:rPr>
          <w:b/>
        </w:rPr>
      </w:pPr>
      <w:bookmarkStart w:id="99" w:name="_Toc508180554"/>
      <w:bookmarkEnd w:id="98"/>
      <w:r w:rsidRPr="00E53977">
        <w:rPr>
          <w:b/>
        </w:rPr>
        <w:t>NFA Contract Values for Tenders on Laboratory Methodologies Provided by Private Laboratories</w:t>
      </w:r>
    </w:p>
    <w:tbl>
      <w:tblPr>
        <w:tblStyle w:val="GridTable1Light"/>
        <w:tblW w:w="0" w:type="auto"/>
        <w:tblLook w:val="04E0" w:firstRow="1" w:lastRow="1" w:firstColumn="1" w:lastColumn="0" w:noHBand="0" w:noVBand="1"/>
      </w:tblPr>
      <w:tblGrid>
        <w:gridCol w:w="2260"/>
        <w:gridCol w:w="1155"/>
        <w:gridCol w:w="1109"/>
        <w:gridCol w:w="1155"/>
        <w:gridCol w:w="1091"/>
        <w:gridCol w:w="1155"/>
        <w:gridCol w:w="1091"/>
      </w:tblGrid>
      <w:tr w:rsidR="00504B28" w:rsidRPr="00E53977" w14:paraId="492F32DC" w14:textId="77777777" w:rsidTr="00770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0070C0"/>
          </w:tcPr>
          <w:p w14:paraId="0D332282" w14:textId="10A210C4" w:rsidR="00504B28" w:rsidRPr="00E53977" w:rsidRDefault="00091352" w:rsidP="002771FB">
            <w:pPr>
              <w:widowControl w:val="0"/>
              <w:spacing w:after="0"/>
              <w:jc w:val="right"/>
              <w:rPr>
                <w:b w:val="0"/>
                <w:i/>
                <w:color w:val="FFFFFF" w:themeColor="background1"/>
                <w:sz w:val="20"/>
                <w:szCs w:val="20"/>
              </w:rPr>
            </w:pPr>
            <w:r w:rsidRPr="00E53977">
              <w:rPr>
                <w:b w:val="0"/>
                <w:i/>
                <w:color w:val="FFFFFF" w:themeColor="background1"/>
                <w:sz w:val="20"/>
                <w:szCs w:val="20"/>
              </w:rPr>
              <w:t>Figures in GEL</w:t>
            </w:r>
          </w:p>
        </w:tc>
        <w:tc>
          <w:tcPr>
            <w:tcW w:w="0" w:type="auto"/>
            <w:gridSpan w:val="2"/>
            <w:tcBorders>
              <w:bottom w:val="nil"/>
            </w:tcBorders>
            <w:shd w:val="clear" w:color="auto" w:fill="0070C0"/>
          </w:tcPr>
          <w:p w14:paraId="7DBF8ED8" w14:textId="77777777" w:rsidR="00504B28" w:rsidRPr="00E53977" w:rsidRDefault="00504B28" w:rsidP="002771FB">
            <w:pPr>
              <w:widowControl w:val="0"/>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2015</w:t>
            </w:r>
          </w:p>
        </w:tc>
        <w:tc>
          <w:tcPr>
            <w:tcW w:w="0" w:type="auto"/>
            <w:gridSpan w:val="2"/>
            <w:tcBorders>
              <w:bottom w:val="nil"/>
            </w:tcBorders>
            <w:shd w:val="clear" w:color="auto" w:fill="0070C0"/>
          </w:tcPr>
          <w:p w14:paraId="38D7FF74" w14:textId="77777777" w:rsidR="00504B28" w:rsidRPr="00E53977" w:rsidRDefault="00504B28" w:rsidP="002771FB">
            <w:pPr>
              <w:widowControl w:val="0"/>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2016</w:t>
            </w:r>
          </w:p>
        </w:tc>
        <w:tc>
          <w:tcPr>
            <w:tcW w:w="0" w:type="auto"/>
            <w:gridSpan w:val="2"/>
            <w:tcBorders>
              <w:bottom w:val="nil"/>
            </w:tcBorders>
            <w:shd w:val="clear" w:color="auto" w:fill="0070C0"/>
          </w:tcPr>
          <w:p w14:paraId="516FCD98" w14:textId="77777777" w:rsidR="00504B28" w:rsidRPr="00E53977" w:rsidRDefault="00504B28" w:rsidP="002771FB">
            <w:pPr>
              <w:widowControl w:val="0"/>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2017</w:t>
            </w:r>
          </w:p>
        </w:tc>
      </w:tr>
      <w:tr w:rsidR="00504B28" w:rsidRPr="00E53977" w14:paraId="516BEB5F" w14:textId="77777777" w:rsidTr="00770877">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12" w:space="0" w:color="999999" w:themeColor="text1" w:themeTint="66"/>
              <w:right w:val="nil"/>
            </w:tcBorders>
            <w:shd w:val="clear" w:color="auto" w:fill="D9D9D9" w:themeFill="background1" w:themeFillShade="D9"/>
          </w:tcPr>
          <w:p w14:paraId="32BEF851" w14:textId="77777777" w:rsidR="00504B28" w:rsidRPr="00E53977" w:rsidRDefault="00504B28" w:rsidP="00080BBF">
            <w:pPr>
              <w:widowControl w:val="0"/>
              <w:spacing w:after="0"/>
              <w:rPr>
                <w:sz w:val="20"/>
                <w:szCs w:val="20"/>
              </w:rPr>
            </w:pPr>
            <w:r w:rsidRPr="00E53977">
              <w:rPr>
                <w:sz w:val="20"/>
                <w:szCs w:val="20"/>
              </w:rPr>
              <w:t>Topic of analysis</w:t>
            </w:r>
          </w:p>
        </w:tc>
        <w:tc>
          <w:tcPr>
            <w:tcW w:w="0" w:type="auto"/>
            <w:tcBorders>
              <w:top w:val="nil"/>
              <w:left w:val="nil"/>
              <w:bottom w:val="single" w:sz="12" w:space="0" w:color="999999" w:themeColor="text1" w:themeTint="66"/>
              <w:right w:val="nil"/>
            </w:tcBorders>
            <w:shd w:val="clear" w:color="auto" w:fill="D9D9D9" w:themeFill="background1" w:themeFillShade="D9"/>
          </w:tcPr>
          <w:p w14:paraId="6348FF75"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Private Labs</w:t>
            </w:r>
          </w:p>
        </w:tc>
        <w:tc>
          <w:tcPr>
            <w:tcW w:w="0" w:type="auto"/>
            <w:tcBorders>
              <w:top w:val="nil"/>
              <w:left w:val="nil"/>
              <w:bottom w:val="single" w:sz="12" w:space="0" w:color="999999" w:themeColor="text1" w:themeTint="66"/>
              <w:right w:val="nil"/>
            </w:tcBorders>
            <w:shd w:val="clear" w:color="auto" w:fill="D9D9D9" w:themeFill="background1" w:themeFillShade="D9"/>
          </w:tcPr>
          <w:p w14:paraId="027D2903"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Public Labs</w:t>
            </w:r>
          </w:p>
        </w:tc>
        <w:tc>
          <w:tcPr>
            <w:tcW w:w="0" w:type="auto"/>
            <w:tcBorders>
              <w:top w:val="nil"/>
              <w:left w:val="nil"/>
              <w:bottom w:val="single" w:sz="12" w:space="0" w:color="999999" w:themeColor="text1" w:themeTint="66"/>
              <w:right w:val="nil"/>
            </w:tcBorders>
            <w:shd w:val="clear" w:color="auto" w:fill="D9D9D9" w:themeFill="background1" w:themeFillShade="D9"/>
          </w:tcPr>
          <w:p w14:paraId="169B1516"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Private Labs</w:t>
            </w:r>
          </w:p>
        </w:tc>
        <w:tc>
          <w:tcPr>
            <w:tcW w:w="0" w:type="auto"/>
            <w:tcBorders>
              <w:top w:val="nil"/>
              <w:left w:val="nil"/>
              <w:bottom w:val="single" w:sz="12" w:space="0" w:color="999999" w:themeColor="text1" w:themeTint="66"/>
              <w:right w:val="nil"/>
            </w:tcBorders>
            <w:shd w:val="clear" w:color="auto" w:fill="D9D9D9" w:themeFill="background1" w:themeFillShade="D9"/>
          </w:tcPr>
          <w:p w14:paraId="56849AED"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Public Labs</w:t>
            </w:r>
          </w:p>
        </w:tc>
        <w:tc>
          <w:tcPr>
            <w:tcW w:w="0" w:type="auto"/>
            <w:tcBorders>
              <w:top w:val="nil"/>
              <w:left w:val="nil"/>
              <w:bottom w:val="single" w:sz="12" w:space="0" w:color="999999" w:themeColor="text1" w:themeTint="66"/>
              <w:right w:val="nil"/>
            </w:tcBorders>
            <w:shd w:val="clear" w:color="auto" w:fill="D9D9D9" w:themeFill="background1" w:themeFillShade="D9"/>
          </w:tcPr>
          <w:p w14:paraId="38384DD7"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Private Labs</w:t>
            </w:r>
          </w:p>
        </w:tc>
        <w:tc>
          <w:tcPr>
            <w:tcW w:w="0" w:type="auto"/>
            <w:tcBorders>
              <w:top w:val="nil"/>
              <w:left w:val="nil"/>
              <w:bottom w:val="single" w:sz="12" w:space="0" w:color="999999" w:themeColor="text1" w:themeTint="66"/>
              <w:right w:val="nil"/>
            </w:tcBorders>
            <w:shd w:val="clear" w:color="auto" w:fill="D9D9D9" w:themeFill="background1" w:themeFillShade="D9"/>
          </w:tcPr>
          <w:p w14:paraId="630EFF7B"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Public Labs</w:t>
            </w:r>
          </w:p>
        </w:tc>
      </w:tr>
      <w:tr w:rsidR="00504B28" w:rsidRPr="00E53977" w14:paraId="29C0D6D7" w14:textId="77777777" w:rsidTr="00770877">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999999" w:themeColor="text1" w:themeTint="66"/>
            </w:tcBorders>
            <w:vAlign w:val="center"/>
          </w:tcPr>
          <w:p w14:paraId="3431859C" w14:textId="77777777" w:rsidR="00504B28" w:rsidRPr="00E53977" w:rsidRDefault="00504B28" w:rsidP="00080BBF">
            <w:pPr>
              <w:widowControl w:val="0"/>
              <w:spacing w:after="0"/>
              <w:rPr>
                <w:b w:val="0"/>
                <w:sz w:val="20"/>
                <w:szCs w:val="20"/>
              </w:rPr>
            </w:pPr>
            <w:r w:rsidRPr="00E53977">
              <w:rPr>
                <w:b w:val="0"/>
                <w:bCs w:val="0"/>
                <w:color w:val="000000"/>
                <w:sz w:val="20"/>
                <w:szCs w:val="20"/>
              </w:rPr>
              <w:t>Food and Water</w:t>
            </w:r>
          </w:p>
        </w:tc>
        <w:tc>
          <w:tcPr>
            <w:tcW w:w="0" w:type="auto"/>
            <w:tcBorders>
              <w:top w:val="single" w:sz="12" w:space="0" w:color="999999" w:themeColor="text1" w:themeTint="66"/>
            </w:tcBorders>
          </w:tcPr>
          <w:p w14:paraId="6ADF934D"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290,025</w:t>
            </w:r>
          </w:p>
        </w:tc>
        <w:tc>
          <w:tcPr>
            <w:tcW w:w="0" w:type="auto"/>
            <w:tcBorders>
              <w:top w:val="single" w:sz="12" w:space="0" w:color="999999" w:themeColor="text1" w:themeTint="66"/>
            </w:tcBorders>
          </w:tcPr>
          <w:p w14:paraId="1E22E4D0"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168,200</w:t>
            </w:r>
          </w:p>
        </w:tc>
        <w:tc>
          <w:tcPr>
            <w:tcW w:w="0" w:type="auto"/>
            <w:tcBorders>
              <w:top w:val="single" w:sz="12" w:space="0" w:color="999999" w:themeColor="text1" w:themeTint="66"/>
            </w:tcBorders>
          </w:tcPr>
          <w:p w14:paraId="3BB0D282"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371,401</w:t>
            </w:r>
          </w:p>
        </w:tc>
        <w:tc>
          <w:tcPr>
            <w:tcW w:w="0" w:type="auto"/>
            <w:tcBorders>
              <w:top w:val="single" w:sz="12" w:space="0" w:color="999999" w:themeColor="text1" w:themeTint="66"/>
            </w:tcBorders>
          </w:tcPr>
          <w:p w14:paraId="0988A1FE"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1,500</w:t>
            </w:r>
          </w:p>
        </w:tc>
        <w:tc>
          <w:tcPr>
            <w:tcW w:w="0" w:type="auto"/>
            <w:tcBorders>
              <w:top w:val="single" w:sz="12" w:space="0" w:color="999999" w:themeColor="text1" w:themeTint="66"/>
            </w:tcBorders>
          </w:tcPr>
          <w:p w14:paraId="59BB3BCD"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620,003</w:t>
            </w:r>
          </w:p>
        </w:tc>
        <w:tc>
          <w:tcPr>
            <w:tcW w:w="0" w:type="auto"/>
            <w:tcBorders>
              <w:top w:val="single" w:sz="12" w:space="0" w:color="999999" w:themeColor="text1" w:themeTint="66"/>
            </w:tcBorders>
          </w:tcPr>
          <w:p w14:paraId="7EF21FF4"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8,190</w:t>
            </w:r>
          </w:p>
        </w:tc>
      </w:tr>
      <w:tr w:rsidR="00504B28" w:rsidRPr="00E53977" w14:paraId="42ED6591" w14:textId="77777777" w:rsidTr="00770877">
        <w:tc>
          <w:tcPr>
            <w:cnfStyle w:val="001000000000" w:firstRow="0" w:lastRow="0" w:firstColumn="1" w:lastColumn="0" w:oddVBand="0" w:evenVBand="0" w:oddHBand="0" w:evenHBand="0" w:firstRowFirstColumn="0" w:firstRowLastColumn="0" w:lastRowFirstColumn="0" w:lastRowLastColumn="0"/>
            <w:tcW w:w="0" w:type="auto"/>
            <w:vAlign w:val="center"/>
          </w:tcPr>
          <w:p w14:paraId="65FED20A" w14:textId="77777777" w:rsidR="00504B28" w:rsidRPr="00E53977" w:rsidRDefault="00504B28" w:rsidP="00080BBF">
            <w:pPr>
              <w:widowControl w:val="0"/>
              <w:spacing w:after="0"/>
              <w:rPr>
                <w:b w:val="0"/>
                <w:bCs w:val="0"/>
                <w:color w:val="000000"/>
                <w:sz w:val="20"/>
                <w:szCs w:val="20"/>
              </w:rPr>
            </w:pPr>
            <w:r w:rsidRPr="00E53977">
              <w:rPr>
                <w:b w:val="0"/>
                <w:bCs w:val="0"/>
                <w:color w:val="000000"/>
                <w:sz w:val="20"/>
                <w:szCs w:val="20"/>
              </w:rPr>
              <w:t>Veterinary Pharmaceuticals</w:t>
            </w:r>
          </w:p>
        </w:tc>
        <w:tc>
          <w:tcPr>
            <w:tcW w:w="0" w:type="auto"/>
          </w:tcPr>
          <w:p w14:paraId="7BCCC4F6"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85,700</w:t>
            </w:r>
          </w:p>
        </w:tc>
        <w:tc>
          <w:tcPr>
            <w:tcW w:w="0" w:type="auto"/>
          </w:tcPr>
          <w:p w14:paraId="79AD10D1"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w:t>
            </w:r>
          </w:p>
        </w:tc>
        <w:tc>
          <w:tcPr>
            <w:tcW w:w="0" w:type="auto"/>
          </w:tcPr>
          <w:p w14:paraId="7F6B2113"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84,800</w:t>
            </w:r>
          </w:p>
        </w:tc>
        <w:tc>
          <w:tcPr>
            <w:tcW w:w="0" w:type="auto"/>
          </w:tcPr>
          <w:p w14:paraId="4BE0DF8C"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w:t>
            </w:r>
          </w:p>
        </w:tc>
        <w:tc>
          <w:tcPr>
            <w:tcW w:w="0" w:type="auto"/>
          </w:tcPr>
          <w:p w14:paraId="0CECCB44"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92,400</w:t>
            </w:r>
          </w:p>
        </w:tc>
        <w:tc>
          <w:tcPr>
            <w:tcW w:w="0" w:type="auto"/>
          </w:tcPr>
          <w:p w14:paraId="733E952A"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w:t>
            </w:r>
          </w:p>
        </w:tc>
      </w:tr>
      <w:tr w:rsidR="00504B28" w:rsidRPr="00E53977" w14:paraId="6192A228" w14:textId="77777777" w:rsidTr="00770877">
        <w:tc>
          <w:tcPr>
            <w:cnfStyle w:val="001000000000" w:firstRow="0" w:lastRow="0" w:firstColumn="1" w:lastColumn="0" w:oddVBand="0" w:evenVBand="0" w:oddHBand="0" w:evenHBand="0" w:firstRowFirstColumn="0" w:firstRowLastColumn="0" w:lastRowFirstColumn="0" w:lastRowLastColumn="0"/>
            <w:tcW w:w="0" w:type="auto"/>
            <w:vAlign w:val="center"/>
          </w:tcPr>
          <w:p w14:paraId="285E4884" w14:textId="77777777" w:rsidR="00504B28" w:rsidRPr="00E53977" w:rsidRDefault="00504B28" w:rsidP="00080BBF">
            <w:pPr>
              <w:widowControl w:val="0"/>
              <w:spacing w:after="0"/>
              <w:rPr>
                <w:b w:val="0"/>
                <w:bCs w:val="0"/>
                <w:color w:val="000000"/>
                <w:sz w:val="20"/>
                <w:szCs w:val="20"/>
              </w:rPr>
            </w:pPr>
            <w:r w:rsidRPr="00E53977">
              <w:rPr>
                <w:b w:val="0"/>
                <w:bCs w:val="0"/>
                <w:color w:val="000000"/>
                <w:sz w:val="20"/>
                <w:szCs w:val="20"/>
              </w:rPr>
              <w:t>Pesticide Residues</w:t>
            </w:r>
          </w:p>
        </w:tc>
        <w:tc>
          <w:tcPr>
            <w:tcW w:w="0" w:type="auto"/>
          </w:tcPr>
          <w:p w14:paraId="4410A574"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19,800</w:t>
            </w:r>
          </w:p>
        </w:tc>
        <w:tc>
          <w:tcPr>
            <w:tcW w:w="0" w:type="auto"/>
          </w:tcPr>
          <w:p w14:paraId="4DA82124"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w:t>
            </w:r>
          </w:p>
        </w:tc>
        <w:tc>
          <w:tcPr>
            <w:tcW w:w="0" w:type="auto"/>
          </w:tcPr>
          <w:p w14:paraId="460C3F4A"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34,500</w:t>
            </w:r>
          </w:p>
        </w:tc>
        <w:tc>
          <w:tcPr>
            <w:tcW w:w="0" w:type="auto"/>
          </w:tcPr>
          <w:p w14:paraId="5EE4D239"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w:t>
            </w:r>
          </w:p>
        </w:tc>
        <w:tc>
          <w:tcPr>
            <w:tcW w:w="0" w:type="auto"/>
          </w:tcPr>
          <w:p w14:paraId="0B61B478"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56,220</w:t>
            </w:r>
          </w:p>
        </w:tc>
        <w:tc>
          <w:tcPr>
            <w:tcW w:w="0" w:type="auto"/>
          </w:tcPr>
          <w:p w14:paraId="3E551851"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w:t>
            </w:r>
          </w:p>
        </w:tc>
      </w:tr>
      <w:tr w:rsidR="00504B28" w:rsidRPr="00E53977" w14:paraId="16FC151E" w14:textId="77777777" w:rsidTr="00770877">
        <w:tc>
          <w:tcPr>
            <w:cnfStyle w:val="001000000000" w:firstRow="0" w:lastRow="0" w:firstColumn="1" w:lastColumn="0" w:oddVBand="0" w:evenVBand="0" w:oddHBand="0" w:evenHBand="0" w:firstRowFirstColumn="0" w:firstRowLastColumn="0" w:lastRowFirstColumn="0" w:lastRowLastColumn="0"/>
            <w:tcW w:w="0" w:type="auto"/>
            <w:vAlign w:val="center"/>
          </w:tcPr>
          <w:p w14:paraId="5163C45A" w14:textId="77777777" w:rsidR="00504B28" w:rsidRPr="00E53977" w:rsidRDefault="00504B28" w:rsidP="00080BBF">
            <w:pPr>
              <w:widowControl w:val="0"/>
              <w:spacing w:after="0"/>
              <w:rPr>
                <w:b w:val="0"/>
                <w:bCs w:val="0"/>
                <w:color w:val="000000"/>
                <w:sz w:val="20"/>
                <w:szCs w:val="20"/>
              </w:rPr>
            </w:pPr>
            <w:r w:rsidRPr="00E53977">
              <w:rPr>
                <w:b w:val="0"/>
                <w:bCs w:val="0"/>
                <w:color w:val="000000"/>
                <w:sz w:val="20"/>
                <w:szCs w:val="20"/>
              </w:rPr>
              <w:t>Harmful Organisms</w:t>
            </w:r>
          </w:p>
        </w:tc>
        <w:tc>
          <w:tcPr>
            <w:tcW w:w="0" w:type="auto"/>
          </w:tcPr>
          <w:p w14:paraId="7B709924"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w:t>
            </w:r>
          </w:p>
        </w:tc>
        <w:tc>
          <w:tcPr>
            <w:tcW w:w="0" w:type="auto"/>
          </w:tcPr>
          <w:p w14:paraId="29B00239"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15,550</w:t>
            </w:r>
          </w:p>
        </w:tc>
        <w:tc>
          <w:tcPr>
            <w:tcW w:w="0" w:type="auto"/>
          </w:tcPr>
          <w:p w14:paraId="60522031"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w:t>
            </w:r>
          </w:p>
        </w:tc>
        <w:tc>
          <w:tcPr>
            <w:tcW w:w="0" w:type="auto"/>
          </w:tcPr>
          <w:p w14:paraId="49A9EFB0"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51,800</w:t>
            </w:r>
          </w:p>
        </w:tc>
        <w:tc>
          <w:tcPr>
            <w:tcW w:w="0" w:type="auto"/>
          </w:tcPr>
          <w:p w14:paraId="175CFE65" w14:textId="77777777" w:rsidR="00504B28" w:rsidRPr="00E53977" w:rsidRDefault="00504B28" w:rsidP="002771FB">
            <w:pPr>
              <w:widowControl w:val="0"/>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w:t>
            </w:r>
          </w:p>
        </w:tc>
        <w:tc>
          <w:tcPr>
            <w:tcW w:w="0" w:type="auto"/>
          </w:tcPr>
          <w:p w14:paraId="659818CB" w14:textId="77777777" w:rsidR="00504B28" w:rsidRPr="00E53977" w:rsidRDefault="00504B28" w:rsidP="002771FB">
            <w:pPr>
              <w:widowControl w:val="0"/>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30,165</w:t>
            </w:r>
          </w:p>
        </w:tc>
      </w:tr>
      <w:tr w:rsidR="00504B28" w:rsidRPr="00E53977" w14:paraId="35968C26" w14:textId="77777777" w:rsidTr="00770877">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shd w:val="clear" w:color="auto" w:fill="FFF2CC" w:themeFill="accent4" w:themeFillTint="33"/>
            <w:vAlign w:val="center"/>
          </w:tcPr>
          <w:p w14:paraId="5FC2CC8E" w14:textId="77777777" w:rsidR="00504B28" w:rsidRPr="00E53977" w:rsidRDefault="00504B28" w:rsidP="00080BBF">
            <w:pPr>
              <w:widowControl w:val="0"/>
              <w:spacing w:after="0"/>
              <w:rPr>
                <w:sz w:val="20"/>
                <w:szCs w:val="20"/>
              </w:rPr>
            </w:pPr>
            <w:r w:rsidRPr="00E53977">
              <w:rPr>
                <w:bCs w:val="0"/>
                <w:color w:val="000000"/>
                <w:sz w:val="20"/>
                <w:szCs w:val="20"/>
              </w:rPr>
              <w:t>Total </w:t>
            </w:r>
          </w:p>
        </w:tc>
        <w:tc>
          <w:tcPr>
            <w:tcW w:w="0" w:type="auto"/>
            <w:shd w:val="clear" w:color="auto" w:fill="FFF2CC" w:themeFill="accent4" w:themeFillTint="33"/>
          </w:tcPr>
          <w:p w14:paraId="4F2E4751" w14:textId="77777777" w:rsidR="00504B28" w:rsidRPr="00E53977" w:rsidRDefault="00504B28" w:rsidP="002771FB">
            <w:pPr>
              <w:widowControl w:val="0"/>
              <w:spacing w:after="0"/>
              <w:jc w:val="right"/>
              <w:cnfStyle w:val="010000000000" w:firstRow="0" w:lastRow="1" w:firstColumn="0" w:lastColumn="0" w:oddVBand="0" w:evenVBand="0" w:oddHBand="0" w:evenHBand="0" w:firstRowFirstColumn="0" w:firstRowLastColumn="0" w:lastRowFirstColumn="0" w:lastRowLastColumn="0"/>
              <w:rPr>
                <w:sz w:val="20"/>
                <w:szCs w:val="20"/>
              </w:rPr>
            </w:pPr>
            <w:r w:rsidRPr="00E53977">
              <w:rPr>
                <w:sz w:val="20"/>
                <w:szCs w:val="20"/>
              </w:rPr>
              <w:t>395,525</w:t>
            </w:r>
          </w:p>
        </w:tc>
        <w:tc>
          <w:tcPr>
            <w:tcW w:w="0" w:type="auto"/>
            <w:shd w:val="clear" w:color="auto" w:fill="FFF2CC" w:themeFill="accent4" w:themeFillTint="33"/>
          </w:tcPr>
          <w:p w14:paraId="3D72BF33" w14:textId="77777777" w:rsidR="00504B28" w:rsidRPr="00E53977" w:rsidRDefault="00504B28" w:rsidP="002771FB">
            <w:pPr>
              <w:widowControl w:val="0"/>
              <w:spacing w:after="0"/>
              <w:jc w:val="right"/>
              <w:cnfStyle w:val="010000000000" w:firstRow="0" w:lastRow="1" w:firstColumn="0" w:lastColumn="0" w:oddVBand="0" w:evenVBand="0" w:oddHBand="0" w:evenHBand="0" w:firstRowFirstColumn="0" w:firstRowLastColumn="0" w:lastRowFirstColumn="0" w:lastRowLastColumn="0"/>
              <w:rPr>
                <w:sz w:val="20"/>
                <w:szCs w:val="20"/>
              </w:rPr>
            </w:pPr>
            <w:r w:rsidRPr="00E53977">
              <w:rPr>
                <w:sz w:val="20"/>
                <w:szCs w:val="20"/>
              </w:rPr>
              <w:t>183,750</w:t>
            </w:r>
          </w:p>
        </w:tc>
        <w:tc>
          <w:tcPr>
            <w:tcW w:w="0" w:type="auto"/>
            <w:shd w:val="clear" w:color="auto" w:fill="FFF2CC" w:themeFill="accent4" w:themeFillTint="33"/>
          </w:tcPr>
          <w:p w14:paraId="761DDA05" w14:textId="77777777" w:rsidR="00504B28" w:rsidRPr="00E53977" w:rsidRDefault="00504B28" w:rsidP="002771FB">
            <w:pPr>
              <w:widowControl w:val="0"/>
              <w:spacing w:after="0"/>
              <w:jc w:val="right"/>
              <w:cnfStyle w:val="010000000000" w:firstRow="0" w:lastRow="1" w:firstColumn="0" w:lastColumn="0" w:oddVBand="0" w:evenVBand="0" w:oddHBand="0" w:evenHBand="0" w:firstRowFirstColumn="0" w:firstRowLastColumn="0" w:lastRowFirstColumn="0" w:lastRowLastColumn="0"/>
              <w:rPr>
                <w:sz w:val="20"/>
                <w:szCs w:val="20"/>
              </w:rPr>
            </w:pPr>
            <w:r w:rsidRPr="00E53977">
              <w:rPr>
                <w:sz w:val="20"/>
                <w:szCs w:val="20"/>
              </w:rPr>
              <w:t>490,701</w:t>
            </w:r>
          </w:p>
        </w:tc>
        <w:tc>
          <w:tcPr>
            <w:tcW w:w="0" w:type="auto"/>
            <w:shd w:val="clear" w:color="auto" w:fill="FFF2CC" w:themeFill="accent4" w:themeFillTint="33"/>
          </w:tcPr>
          <w:p w14:paraId="7241F17E" w14:textId="77777777" w:rsidR="00504B28" w:rsidRPr="00E53977" w:rsidRDefault="00504B28" w:rsidP="002771FB">
            <w:pPr>
              <w:widowControl w:val="0"/>
              <w:spacing w:after="0"/>
              <w:jc w:val="right"/>
              <w:cnfStyle w:val="010000000000" w:firstRow="0" w:lastRow="1" w:firstColumn="0" w:lastColumn="0" w:oddVBand="0" w:evenVBand="0" w:oddHBand="0" w:evenHBand="0" w:firstRowFirstColumn="0" w:firstRowLastColumn="0" w:lastRowFirstColumn="0" w:lastRowLastColumn="0"/>
              <w:rPr>
                <w:sz w:val="20"/>
                <w:szCs w:val="20"/>
              </w:rPr>
            </w:pPr>
            <w:r w:rsidRPr="00E53977">
              <w:rPr>
                <w:sz w:val="20"/>
                <w:szCs w:val="20"/>
              </w:rPr>
              <w:t>53,300</w:t>
            </w:r>
          </w:p>
        </w:tc>
        <w:tc>
          <w:tcPr>
            <w:tcW w:w="0" w:type="auto"/>
            <w:shd w:val="clear" w:color="auto" w:fill="FFF2CC" w:themeFill="accent4" w:themeFillTint="33"/>
          </w:tcPr>
          <w:p w14:paraId="66DA5C64" w14:textId="77777777" w:rsidR="00504B28" w:rsidRPr="00E53977" w:rsidRDefault="00504B28" w:rsidP="002771FB">
            <w:pPr>
              <w:widowControl w:val="0"/>
              <w:spacing w:after="0"/>
              <w:jc w:val="right"/>
              <w:cnfStyle w:val="010000000000" w:firstRow="0" w:lastRow="1" w:firstColumn="0" w:lastColumn="0" w:oddVBand="0" w:evenVBand="0" w:oddHBand="0" w:evenHBand="0" w:firstRowFirstColumn="0" w:firstRowLastColumn="0" w:lastRowFirstColumn="0" w:lastRowLastColumn="0"/>
              <w:rPr>
                <w:sz w:val="20"/>
                <w:szCs w:val="20"/>
              </w:rPr>
            </w:pPr>
            <w:r w:rsidRPr="00E53977">
              <w:rPr>
                <w:sz w:val="20"/>
                <w:szCs w:val="20"/>
              </w:rPr>
              <w:t>768,623</w:t>
            </w:r>
          </w:p>
        </w:tc>
        <w:tc>
          <w:tcPr>
            <w:tcW w:w="0" w:type="auto"/>
            <w:shd w:val="clear" w:color="auto" w:fill="FFF2CC" w:themeFill="accent4" w:themeFillTint="33"/>
          </w:tcPr>
          <w:p w14:paraId="62175EA3" w14:textId="77777777" w:rsidR="00504B28" w:rsidRPr="00E53977" w:rsidRDefault="00504B28" w:rsidP="002771FB">
            <w:pPr>
              <w:widowControl w:val="0"/>
              <w:spacing w:after="0"/>
              <w:jc w:val="right"/>
              <w:cnfStyle w:val="010000000000" w:firstRow="0" w:lastRow="1" w:firstColumn="0" w:lastColumn="0" w:oddVBand="0" w:evenVBand="0" w:oddHBand="0" w:evenHBand="0" w:firstRowFirstColumn="0" w:firstRowLastColumn="0" w:lastRowFirstColumn="0" w:lastRowLastColumn="0"/>
              <w:rPr>
                <w:sz w:val="20"/>
                <w:szCs w:val="20"/>
              </w:rPr>
            </w:pPr>
            <w:r w:rsidRPr="00E53977">
              <w:rPr>
                <w:sz w:val="20"/>
                <w:szCs w:val="20"/>
              </w:rPr>
              <w:t>38,355</w:t>
            </w:r>
          </w:p>
        </w:tc>
      </w:tr>
    </w:tbl>
    <w:p w14:paraId="5933E7BA" w14:textId="7786832E" w:rsidR="00B9071F" w:rsidRPr="00E53977" w:rsidRDefault="00052565" w:rsidP="00080BBF">
      <w:pPr>
        <w:pStyle w:val="Heading1"/>
      </w:pPr>
      <w:bookmarkStart w:id="100" w:name="_Toc520906389"/>
      <w:r w:rsidRPr="00E53977">
        <w:lastRenderedPageBreak/>
        <w:t>ANNEX 4</w:t>
      </w:r>
      <w:r w:rsidR="00B9071F" w:rsidRPr="00E53977">
        <w:t xml:space="preserve">: </w:t>
      </w:r>
      <w:bookmarkEnd w:id="99"/>
      <w:r w:rsidR="00B9071F" w:rsidRPr="00E53977">
        <w:t>FOODBORNE DISEASE STATISTICS IN 2008 - 2017</w:t>
      </w:r>
      <w:bookmarkEnd w:id="100"/>
    </w:p>
    <w:p w14:paraId="374DA888" w14:textId="77777777" w:rsidR="00B9071F" w:rsidRPr="00E53977" w:rsidRDefault="00B9071F" w:rsidP="002771FB">
      <w:pPr>
        <w:widowControl w:val="0"/>
      </w:pPr>
      <w:r w:rsidRPr="00E53977">
        <w:rPr>
          <w:noProof/>
        </w:rPr>
        <w:drawing>
          <wp:inline distT="0" distB="0" distL="0" distR="0" wp14:anchorId="1E3E91B7" wp14:editId="2E69C1D0">
            <wp:extent cx="5715000" cy="24612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2461236"/>
                    </a:xfrm>
                    <a:prstGeom prst="rect">
                      <a:avLst/>
                    </a:prstGeom>
                    <a:noFill/>
                  </pic:spPr>
                </pic:pic>
              </a:graphicData>
            </a:graphic>
          </wp:inline>
        </w:drawing>
      </w:r>
    </w:p>
    <w:p w14:paraId="39473AB4" w14:textId="77777777" w:rsidR="00B9071F" w:rsidRPr="00E53977" w:rsidRDefault="00B9071F" w:rsidP="002771FB">
      <w:pPr>
        <w:pStyle w:val="NoSpacing"/>
        <w:widowControl w:val="0"/>
      </w:pPr>
      <w:r w:rsidRPr="00E53977">
        <w:rPr>
          <w:noProof/>
        </w:rPr>
        <w:drawing>
          <wp:inline distT="0" distB="0" distL="0" distR="0" wp14:anchorId="0DED34C6" wp14:editId="2A3D1B5C">
            <wp:extent cx="5715000" cy="25008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2500863"/>
                    </a:xfrm>
                    <a:prstGeom prst="rect">
                      <a:avLst/>
                    </a:prstGeom>
                    <a:noFill/>
                  </pic:spPr>
                </pic:pic>
              </a:graphicData>
            </a:graphic>
          </wp:inline>
        </w:drawing>
      </w:r>
    </w:p>
    <w:p w14:paraId="7CA3E84C" w14:textId="77777777" w:rsidR="00B9071F" w:rsidRPr="00E53977" w:rsidRDefault="00B9071F" w:rsidP="002771FB">
      <w:pPr>
        <w:pStyle w:val="NoSpacing"/>
        <w:widowControl w:val="0"/>
        <w:rPr>
          <w:rFonts w:cs="Times New Roman"/>
          <w:szCs w:val="24"/>
        </w:rPr>
      </w:pPr>
    </w:p>
    <w:p w14:paraId="3713B4CE" w14:textId="77777777" w:rsidR="00B9071F" w:rsidRPr="00E53977" w:rsidRDefault="00B9071F" w:rsidP="002771FB">
      <w:pPr>
        <w:pStyle w:val="NoSpacing"/>
        <w:widowControl w:val="0"/>
        <w:rPr>
          <w:rStyle w:val="Heading1Char"/>
        </w:rPr>
      </w:pPr>
      <w:r w:rsidRPr="00E53977">
        <w:rPr>
          <w:rFonts w:cs="Times New Roman"/>
          <w:noProof/>
          <w:szCs w:val="24"/>
        </w:rPr>
        <w:drawing>
          <wp:inline distT="0" distB="0" distL="0" distR="0" wp14:anchorId="1CF22D54" wp14:editId="054F6740">
            <wp:extent cx="5715000" cy="2456834"/>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2456834"/>
                    </a:xfrm>
                    <a:prstGeom prst="rect">
                      <a:avLst/>
                    </a:prstGeom>
                    <a:noFill/>
                  </pic:spPr>
                </pic:pic>
              </a:graphicData>
            </a:graphic>
          </wp:inline>
        </w:drawing>
      </w:r>
      <w:bookmarkStart w:id="101" w:name="_Toc508180555"/>
    </w:p>
    <w:p w14:paraId="0A0C0CCB" w14:textId="77777777" w:rsidR="00B9071F" w:rsidRPr="00E53977" w:rsidRDefault="00B9071F" w:rsidP="002771FB">
      <w:pPr>
        <w:widowControl w:val="0"/>
        <w:jc w:val="left"/>
        <w:rPr>
          <w:rStyle w:val="Heading1Char"/>
        </w:rPr>
      </w:pPr>
      <w:r w:rsidRPr="00E53977">
        <w:rPr>
          <w:rStyle w:val="Heading1Char"/>
        </w:rPr>
        <w:br w:type="page"/>
      </w:r>
    </w:p>
    <w:p w14:paraId="0B5385F1" w14:textId="31AA1DC4" w:rsidR="00B9071F" w:rsidRPr="00E53977" w:rsidRDefault="00052565" w:rsidP="002771FB">
      <w:pPr>
        <w:pStyle w:val="Heading1"/>
        <w:widowControl w:val="0"/>
        <w:rPr>
          <w:rStyle w:val="Heading1Char"/>
        </w:rPr>
      </w:pPr>
      <w:bookmarkStart w:id="102" w:name="_Toc520906390"/>
      <w:r w:rsidRPr="00E53977">
        <w:rPr>
          <w:rStyle w:val="Heading1Char"/>
          <w:b/>
        </w:rPr>
        <w:lastRenderedPageBreak/>
        <w:t>ANNEX 5</w:t>
      </w:r>
      <w:r w:rsidR="00B9071F" w:rsidRPr="00E53977">
        <w:rPr>
          <w:rStyle w:val="Heading1Char"/>
          <w:b/>
          <w:caps/>
        </w:rPr>
        <w:t>: VETERINARY ACTIVITIES IN 2017</w:t>
      </w:r>
      <w:bookmarkEnd w:id="102"/>
    </w:p>
    <w:p w14:paraId="1E4618E3" w14:textId="77777777" w:rsidR="00B9071F" w:rsidRPr="00E53977" w:rsidRDefault="00B9071F" w:rsidP="002771FB">
      <w:pPr>
        <w:widowControl w:val="0"/>
        <w:rPr>
          <w:b/>
        </w:rPr>
      </w:pPr>
      <w:r w:rsidRPr="00E53977">
        <w:rPr>
          <w:b/>
        </w:rPr>
        <w:t>Active veterinary projects for Animal Health in 2017</w:t>
      </w:r>
    </w:p>
    <w:tbl>
      <w:tblPr>
        <w:tblStyle w:val="GridTable1Light"/>
        <w:tblpPr w:leftFromText="141" w:rightFromText="141" w:vertAnchor="text" w:tblpY="1"/>
        <w:tblOverlap w:val="never"/>
        <w:tblW w:w="0" w:type="auto"/>
        <w:tblLook w:val="04E0" w:firstRow="1" w:lastRow="1" w:firstColumn="1" w:lastColumn="0" w:noHBand="0" w:noVBand="1"/>
      </w:tblPr>
      <w:tblGrid>
        <w:gridCol w:w="3330"/>
        <w:gridCol w:w="1439"/>
        <w:gridCol w:w="1433"/>
        <w:gridCol w:w="1491"/>
        <w:gridCol w:w="1323"/>
      </w:tblGrid>
      <w:tr w:rsidR="00B9071F" w:rsidRPr="00E53977" w14:paraId="74827484" w14:textId="77777777" w:rsidTr="00FF5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2" w:type="dxa"/>
            <w:tcBorders>
              <w:bottom w:val="nil"/>
            </w:tcBorders>
            <w:shd w:val="clear" w:color="auto" w:fill="0070C0"/>
          </w:tcPr>
          <w:p w14:paraId="023587FF" w14:textId="77777777" w:rsidR="00B9071F" w:rsidRPr="00E53977" w:rsidRDefault="00B9071F" w:rsidP="002771FB">
            <w:pPr>
              <w:widowControl w:val="0"/>
              <w:jc w:val="left"/>
              <w:rPr>
                <w:color w:val="FFFFFF" w:themeColor="background1"/>
                <w:sz w:val="20"/>
                <w:szCs w:val="20"/>
              </w:rPr>
            </w:pPr>
            <w:r w:rsidRPr="00E53977">
              <w:rPr>
                <w:color w:val="FFFFFF" w:themeColor="background1"/>
                <w:sz w:val="20"/>
                <w:szCs w:val="20"/>
              </w:rPr>
              <w:t>Active project target disease</w:t>
            </w:r>
          </w:p>
        </w:tc>
        <w:tc>
          <w:tcPr>
            <w:tcW w:w="1483" w:type="dxa"/>
            <w:tcBorders>
              <w:bottom w:val="nil"/>
            </w:tcBorders>
            <w:shd w:val="clear" w:color="auto" w:fill="0070C0"/>
          </w:tcPr>
          <w:p w14:paraId="5AAEF8B5" w14:textId="77777777" w:rsidR="00B9071F" w:rsidRPr="00E53977" w:rsidRDefault="00B9071F" w:rsidP="002771FB">
            <w:pPr>
              <w:widowControl w:val="0"/>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E53977">
              <w:rPr>
                <w:color w:val="FFFFFF" w:themeColor="background1"/>
                <w:sz w:val="20"/>
                <w:szCs w:val="20"/>
              </w:rPr>
              <w:t>Surveillance</w:t>
            </w:r>
          </w:p>
        </w:tc>
        <w:tc>
          <w:tcPr>
            <w:tcW w:w="1501" w:type="dxa"/>
            <w:tcBorders>
              <w:bottom w:val="nil"/>
            </w:tcBorders>
            <w:shd w:val="clear" w:color="auto" w:fill="0070C0"/>
          </w:tcPr>
          <w:p w14:paraId="05882501" w14:textId="77777777" w:rsidR="00B9071F" w:rsidRPr="00E53977" w:rsidRDefault="00B9071F" w:rsidP="002771FB">
            <w:pPr>
              <w:widowControl w:val="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Serosurvey</w:t>
            </w:r>
          </w:p>
        </w:tc>
        <w:tc>
          <w:tcPr>
            <w:tcW w:w="1536" w:type="dxa"/>
            <w:tcBorders>
              <w:bottom w:val="nil"/>
            </w:tcBorders>
            <w:shd w:val="clear" w:color="auto" w:fill="0070C0"/>
          </w:tcPr>
          <w:p w14:paraId="53005B66" w14:textId="77777777" w:rsidR="00B9071F" w:rsidRPr="00E53977" w:rsidRDefault="00B9071F" w:rsidP="002771FB">
            <w:pPr>
              <w:widowControl w:val="0"/>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E53977">
              <w:rPr>
                <w:color w:val="FFFFFF" w:themeColor="background1"/>
                <w:sz w:val="20"/>
                <w:szCs w:val="20"/>
              </w:rPr>
              <w:t>Vaccinations</w:t>
            </w:r>
          </w:p>
        </w:tc>
        <w:tc>
          <w:tcPr>
            <w:tcW w:w="1374" w:type="dxa"/>
            <w:tcBorders>
              <w:bottom w:val="nil"/>
            </w:tcBorders>
            <w:shd w:val="clear" w:color="auto" w:fill="0070C0"/>
          </w:tcPr>
          <w:p w14:paraId="4FBF2F32" w14:textId="77777777" w:rsidR="00B9071F" w:rsidRPr="00E53977" w:rsidRDefault="00B9071F" w:rsidP="002771FB">
            <w:pPr>
              <w:widowControl w:val="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Inceticides</w:t>
            </w:r>
          </w:p>
        </w:tc>
      </w:tr>
      <w:tr w:rsidR="00B9071F" w:rsidRPr="00E53977" w14:paraId="7CF17653" w14:textId="77777777" w:rsidTr="00FF581B">
        <w:tc>
          <w:tcPr>
            <w:cnfStyle w:val="001000000000" w:firstRow="0" w:lastRow="0" w:firstColumn="1" w:lastColumn="0" w:oddVBand="0" w:evenVBand="0" w:oddHBand="0" w:evenHBand="0" w:firstRowFirstColumn="0" w:firstRowLastColumn="0" w:lastRowFirstColumn="0" w:lastRowLastColumn="0"/>
            <w:tcW w:w="3842" w:type="dxa"/>
            <w:tcBorders>
              <w:top w:val="single" w:sz="12" w:space="0" w:color="999999" w:themeColor="text1" w:themeTint="66"/>
            </w:tcBorders>
            <w:vAlign w:val="center"/>
          </w:tcPr>
          <w:p w14:paraId="4BBCE69C" w14:textId="77777777" w:rsidR="00B9071F" w:rsidRPr="00E53977" w:rsidRDefault="00B9071F" w:rsidP="002771FB">
            <w:pPr>
              <w:widowControl w:val="0"/>
              <w:rPr>
                <w:b w:val="0"/>
                <w:bCs w:val="0"/>
                <w:color w:val="000000"/>
                <w:sz w:val="20"/>
                <w:szCs w:val="20"/>
              </w:rPr>
            </w:pPr>
            <w:r w:rsidRPr="00E53977">
              <w:rPr>
                <w:color w:val="000000"/>
                <w:sz w:val="20"/>
                <w:szCs w:val="20"/>
              </w:rPr>
              <w:t>Foot and Mouth disease (FMD)</w:t>
            </w:r>
          </w:p>
        </w:tc>
        <w:tc>
          <w:tcPr>
            <w:tcW w:w="1483" w:type="dxa"/>
            <w:tcBorders>
              <w:top w:val="single" w:sz="12" w:space="0" w:color="999999" w:themeColor="text1" w:themeTint="66"/>
            </w:tcBorders>
          </w:tcPr>
          <w:p w14:paraId="28E7D5DA"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01" w:type="dxa"/>
            <w:tcBorders>
              <w:top w:val="single" w:sz="12" w:space="0" w:color="999999" w:themeColor="text1" w:themeTint="66"/>
            </w:tcBorders>
          </w:tcPr>
          <w:p w14:paraId="6103C43D"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36" w:type="dxa"/>
            <w:tcBorders>
              <w:top w:val="single" w:sz="12" w:space="0" w:color="999999" w:themeColor="text1" w:themeTint="66"/>
            </w:tcBorders>
          </w:tcPr>
          <w:p w14:paraId="688C5344"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374" w:type="dxa"/>
            <w:tcBorders>
              <w:top w:val="single" w:sz="12" w:space="0" w:color="999999" w:themeColor="text1" w:themeTint="66"/>
            </w:tcBorders>
          </w:tcPr>
          <w:p w14:paraId="6A634240"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9071F" w:rsidRPr="00E53977" w14:paraId="1B84C4AA" w14:textId="77777777" w:rsidTr="00FF581B">
        <w:tc>
          <w:tcPr>
            <w:cnfStyle w:val="001000000000" w:firstRow="0" w:lastRow="0" w:firstColumn="1" w:lastColumn="0" w:oddVBand="0" w:evenVBand="0" w:oddHBand="0" w:evenHBand="0" w:firstRowFirstColumn="0" w:firstRowLastColumn="0" w:lastRowFirstColumn="0" w:lastRowLastColumn="0"/>
            <w:tcW w:w="3842" w:type="dxa"/>
            <w:vAlign w:val="center"/>
          </w:tcPr>
          <w:p w14:paraId="56554FA1" w14:textId="77777777" w:rsidR="00B9071F" w:rsidRPr="00E53977" w:rsidRDefault="00B9071F" w:rsidP="002771FB">
            <w:pPr>
              <w:widowControl w:val="0"/>
              <w:rPr>
                <w:b w:val="0"/>
                <w:bCs w:val="0"/>
                <w:color w:val="000000"/>
                <w:sz w:val="20"/>
                <w:szCs w:val="20"/>
              </w:rPr>
            </w:pPr>
            <w:r w:rsidRPr="00E53977">
              <w:rPr>
                <w:color w:val="000000"/>
                <w:sz w:val="20"/>
                <w:szCs w:val="20"/>
              </w:rPr>
              <w:t>Rabies</w:t>
            </w:r>
          </w:p>
        </w:tc>
        <w:tc>
          <w:tcPr>
            <w:tcW w:w="1483" w:type="dxa"/>
          </w:tcPr>
          <w:p w14:paraId="21DCA889"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01" w:type="dxa"/>
          </w:tcPr>
          <w:p w14:paraId="293A4977"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36" w:type="dxa"/>
          </w:tcPr>
          <w:p w14:paraId="3C212ED3"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374" w:type="dxa"/>
          </w:tcPr>
          <w:p w14:paraId="600E3143"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9071F" w:rsidRPr="00E53977" w14:paraId="61B6DDE5" w14:textId="77777777" w:rsidTr="00FF581B">
        <w:tc>
          <w:tcPr>
            <w:cnfStyle w:val="001000000000" w:firstRow="0" w:lastRow="0" w:firstColumn="1" w:lastColumn="0" w:oddVBand="0" w:evenVBand="0" w:oddHBand="0" w:evenHBand="0" w:firstRowFirstColumn="0" w:firstRowLastColumn="0" w:lastRowFirstColumn="0" w:lastRowLastColumn="0"/>
            <w:tcW w:w="3842" w:type="dxa"/>
            <w:vAlign w:val="center"/>
          </w:tcPr>
          <w:p w14:paraId="4F7961C2" w14:textId="77777777" w:rsidR="00B9071F" w:rsidRPr="00E53977" w:rsidRDefault="00B9071F" w:rsidP="002771FB">
            <w:pPr>
              <w:widowControl w:val="0"/>
              <w:rPr>
                <w:b w:val="0"/>
                <w:bCs w:val="0"/>
                <w:color w:val="000000"/>
                <w:sz w:val="20"/>
                <w:szCs w:val="20"/>
              </w:rPr>
            </w:pPr>
            <w:r w:rsidRPr="00E53977">
              <w:rPr>
                <w:color w:val="000000"/>
                <w:sz w:val="20"/>
                <w:szCs w:val="20"/>
              </w:rPr>
              <w:t>Anthrax</w:t>
            </w:r>
          </w:p>
        </w:tc>
        <w:tc>
          <w:tcPr>
            <w:tcW w:w="1483" w:type="dxa"/>
          </w:tcPr>
          <w:p w14:paraId="7EA82B8F"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01" w:type="dxa"/>
          </w:tcPr>
          <w:p w14:paraId="149C1639"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36" w:type="dxa"/>
          </w:tcPr>
          <w:p w14:paraId="430D3331"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374" w:type="dxa"/>
          </w:tcPr>
          <w:p w14:paraId="6C71B843"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9071F" w:rsidRPr="00E53977" w14:paraId="3E5C90E5" w14:textId="77777777" w:rsidTr="00FF581B">
        <w:tc>
          <w:tcPr>
            <w:cnfStyle w:val="001000000000" w:firstRow="0" w:lastRow="0" w:firstColumn="1" w:lastColumn="0" w:oddVBand="0" w:evenVBand="0" w:oddHBand="0" w:evenHBand="0" w:firstRowFirstColumn="0" w:firstRowLastColumn="0" w:lastRowFirstColumn="0" w:lastRowLastColumn="0"/>
            <w:tcW w:w="3842" w:type="dxa"/>
            <w:vAlign w:val="center"/>
          </w:tcPr>
          <w:p w14:paraId="3F6B8843" w14:textId="77777777" w:rsidR="00B9071F" w:rsidRPr="00E53977" w:rsidRDefault="00B9071F" w:rsidP="002771FB">
            <w:pPr>
              <w:widowControl w:val="0"/>
              <w:rPr>
                <w:b w:val="0"/>
                <w:bCs w:val="0"/>
                <w:color w:val="000000"/>
                <w:sz w:val="20"/>
                <w:szCs w:val="20"/>
              </w:rPr>
            </w:pPr>
            <w:r w:rsidRPr="00E53977">
              <w:rPr>
                <w:color w:val="000000"/>
                <w:sz w:val="20"/>
                <w:szCs w:val="20"/>
              </w:rPr>
              <w:t>Brucellosis</w:t>
            </w:r>
          </w:p>
        </w:tc>
        <w:tc>
          <w:tcPr>
            <w:tcW w:w="1483" w:type="dxa"/>
          </w:tcPr>
          <w:p w14:paraId="1B5745AA"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01" w:type="dxa"/>
          </w:tcPr>
          <w:p w14:paraId="7E183DA1"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36" w:type="dxa"/>
          </w:tcPr>
          <w:p w14:paraId="03015682"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374" w:type="dxa"/>
          </w:tcPr>
          <w:p w14:paraId="65606701"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9071F" w:rsidRPr="00E53977" w14:paraId="592EF54D" w14:textId="77777777" w:rsidTr="00FF581B">
        <w:tc>
          <w:tcPr>
            <w:cnfStyle w:val="001000000000" w:firstRow="0" w:lastRow="0" w:firstColumn="1" w:lastColumn="0" w:oddVBand="0" w:evenVBand="0" w:oddHBand="0" w:evenHBand="0" w:firstRowFirstColumn="0" w:firstRowLastColumn="0" w:lastRowFirstColumn="0" w:lastRowLastColumn="0"/>
            <w:tcW w:w="3842" w:type="dxa"/>
            <w:vAlign w:val="center"/>
          </w:tcPr>
          <w:p w14:paraId="002F7185" w14:textId="77777777" w:rsidR="00B9071F" w:rsidRPr="00E53977" w:rsidRDefault="00B9071F" w:rsidP="002771FB">
            <w:pPr>
              <w:widowControl w:val="0"/>
              <w:rPr>
                <w:b w:val="0"/>
                <w:bCs w:val="0"/>
                <w:color w:val="000000"/>
                <w:sz w:val="20"/>
                <w:szCs w:val="20"/>
              </w:rPr>
            </w:pPr>
            <w:r w:rsidRPr="00E53977">
              <w:rPr>
                <w:color w:val="000000"/>
                <w:sz w:val="20"/>
                <w:szCs w:val="20"/>
              </w:rPr>
              <w:t>Tuberculosis</w:t>
            </w:r>
          </w:p>
        </w:tc>
        <w:tc>
          <w:tcPr>
            <w:tcW w:w="1483" w:type="dxa"/>
          </w:tcPr>
          <w:p w14:paraId="3722A401"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01" w:type="dxa"/>
          </w:tcPr>
          <w:p w14:paraId="46FA860B"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36" w:type="dxa"/>
          </w:tcPr>
          <w:p w14:paraId="13F52765"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374" w:type="dxa"/>
          </w:tcPr>
          <w:p w14:paraId="3EF50789"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9071F" w:rsidRPr="00E53977" w14:paraId="0766459A" w14:textId="77777777" w:rsidTr="00FF581B">
        <w:tc>
          <w:tcPr>
            <w:cnfStyle w:val="001000000000" w:firstRow="0" w:lastRow="0" w:firstColumn="1" w:lastColumn="0" w:oddVBand="0" w:evenVBand="0" w:oddHBand="0" w:evenHBand="0" w:firstRowFirstColumn="0" w:firstRowLastColumn="0" w:lastRowFirstColumn="0" w:lastRowLastColumn="0"/>
            <w:tcW w:w="3842" w:type="dxa"/>
            <w:vAlign w:val="center"/>
          </w:tcPr>
          <w:p w14:paraId="79855F57" w14:textId="77777777" w:rsidR="00B9071F" w:rsidRPr="00E53977" w:rsidRDefault="00B9071F" w:rsidP="002771FB">
            <w:pPr>
              <w:widowControl w:val="0"/>
              <w:rPr>
                <w:b w:val="0"/>
                <w:bCs w:val="0"/>
                <w:color w:val="000000"/>
                <w:sz w:val="20"/>
                <w:szCs w:val="20"/>
              </w:rPr>
            </w:pPr>
            <w:r w:rsidRPr="00E53977">
              <w:rPr>
                <w:color w:val="000000"/>
                <w:sz w:val="20"/>
                <w:szCs w:val="20"/>
              </w:rPr>
              <w:t>Avian Influenza (AI)</w:t>
            </w:r>
          </w:p>
        </w:tc>
        <w:tc>
          <w:tcPr>
            <w:tcW w:w="1483" w:type="dxa"/>
          </w:tcPr>
          <w:p w14:paraId="0CA77AAE"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01" w:type="dxa"/>
          </w:tcPr>
          <w:p w14:paraId="101A123F"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36" w:type="dxa"/>
          </w:tcPr>
          <w:p w14:paraId="533AB4BB"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374" w:type="dxa"/>
          </w:tcPr>
          <w:p w14:paraId="0E344C78"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9071F" w:rsidRPr="00E53977" w14:paraId="413E31BA" w14:textId="77777777" w:rsidTr="00FF581B">
        <w:tc>
          <w:tcPr>
            <w:cnfStyle w:val="001000000000" w:firstRow="0" w:lastRow="0" w:firstColumn="1" w:lastColumn="0" w:oddVBand="0" w:evenVBand="0" w:oddHBand="0" w:evenHBand="0" w:firstRowFirstColumn="0" w:firstRowLastColumn="0" w:lastRowFirstColumn="0" w:lastRowLastColumn="0"/>
            <w:tcW w:w="3842" w:type="dxa"/>
            <w:vAlign w:val="center"/>
          </w:tcPr>
          <w:p w14:paraId="7988ECA6" w14:textId="77777777" w:rsidR="00B9071F" w:rsidRPr="00E53977" w:rsidRDefault="00B9071F" w:rsidP="002771FB">
            <w:pPr>
              <w:widowControl w:val="0"/>
              <w:rPr>
                <w:b w:val="0"/>
                <w:bCs w:val="0"/>
                <w:color w:val="000000"/>
                <w:sz w:val="20"/>
                <w:szCs w:val="20"/>
              </w:rPr>
            </w:pPr>
            <w:r w:rsidRPr="00E53977">
              <w:rPr>
                <w:color w:val="000000"/>
                <w:sz w:val="20"/>
                <w:szCs w:val="20"/>
              </w:rPr>
              <w:t>Sheep and Goat Pox</w:t>
            </w:r>
          </w:p>
        </w:tc>
        <w:tc>
          <w:tcPr>
            <w:tcW w:w="1483" w:type="dxa"/>
          </w:tcPr>
          <w:p w14:paraId="14EB95FE"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01" w:type="dxa"/>
          </w:tcPr>
          <w:p w14:paraId="2CE5E427"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36" w:type="dxa"/>
          </w:tcPr>
          <w:p w14:paraId="0A6E6C76"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374" w:type="dxa"/>
          </w:tcPr>
          <w:p w14:paraId="49439880"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9071F" w:rsidRPr="00E53977" w14:paraId="1F92A2A0" w14:textId="77777777" w:rsidTr="00FF581B">
        <w:tc>
          <w:tcPr>
            <w:cnfStyle w:val="001000000000" w:firstRow="0" w:lastRow="0" w:firstColumn="1" w:lastColumn="0" w:oddVBand="0" w:evenVBand="0" w:oddHBand="0" w:evenHBand="0" w:firstRowFirstColumn="0" w:firstRowLastColumn="0" w:lastRowFirstColumn="0" w:lastRowLastColumn="0"/>
            <w:tcW w:w="3842" w:type="dxa"/>
            <w:vAlign w:val="center"/>
          </w:tcPr>
          <w:p w14:paraId="0A069480" w14:textId="77777777" w:rsidR="00B9071F" w:rsidRPr="00E53977" w:rsidRDefault="00B9071F" w:rsidP="002771FB">
            <w:pPr>
              <w:widowControl w:val="0"/>
              <w:rPr>
                <w:b w:val="0"/>
                <w:bCs w:val="0"/>
                <w:color w:val="000000"/>
                <w:sz w:val="20"/>
                <w:szCs w:val="20"/>
              </w:rPr>
            </w:pPr>
            <w:r w:rsidRPr="00E53977">
              <w:rPr>
                <w:color w:val="000000"/>
                <w:sz w:val="20"/>
                <w:szCs w:val="20"/>
              </w:rPr>
              <w:t>Lumpy skin disease</w:t>
            </w:r>
          </w:p>
        </w:tc>
        <w:tc>
          <w:tcPr>
            <w:tcW w:w="1483" w:type="dxa"/>
          </w:tcPr>
          <w:p w14:paraId="397BA381"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01" w:type="dxa"/>
          </w:tcPr>
          <w:p w14:paraId="573C5DC2"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36" w:type="dxa"/>
          </w:tcPr>
          <w:p w14:paraId="41E5C9C5"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374" w:type="dxa"/>
          </w:tcPr>
          <w:p w14:paraId="277A72CB"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9071F" w:rsidRPr="00E53977" w14:paraId="03B8332D" w14:textId="77777777" w:rsidTr="00FF581B">
        <w:tc>
          <w:tcPr>
            <w:cnfStyle w:val="001000000000" w:firstRow="0" w:lastRow="0" w:firstColumn="1" w:lastColumn="0" w:oddVBand="0" w:evenVBand="0" w:oddHBand="0" w:evenHBand="0" w:firstRowFirstColumn="0" w:firstRowLastColumn="0" w:lastRowFirstColumn="0" w:lastRowLastColumn="0"/>
            <w:tcW w:w="3842" w:type="dxa"/>
            <w:vAlign w:val="center"/>
          </w:tcPr>
          <w:p w14:paraId="57759589" w14:textId="77777777" w:rsidR="00B9071F" w:rsidRPr="00E53977" w:rsidRDefault="00B9071F" w:rsidP="002771FB">
            <w:pPr>
              <w:widowControl w:val="0"/>
              <w:rPr>
                <w:b w:val="0"/>
                <w:bCs w:val="0"/>
                <w:color w:val="000000"/>
                <w:sz w:val="20"/>
                <w:szCs w:val="20"/>
              </w:rPr>
            </w:pPr>
            <w:r w:rsidRPr="00E53977">
              <w:rPr>
                <w:color w:val="000000"/>
                <w:sz w:val="20"/>
                <w:szCs w:val="20"/>
              </w:rPr>
              <w:t>African Swine Fever (ASF)</w:t>
            </w:r>
          </w:p>
        </w:tc>
        <w:tc>
          <w:tcPr>
            <w:tcW w:w="1483" w:type="dxa"/>
          </w:tcPr>
          <w:p w14:paraId="54F69890"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01" w:type="dxa"/>
          </w:tcPr>
          <w:p w14:paraId="1347A674"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36" w:type="dxa"/>
          </w:tcPr>
          <w:p w14:paraId="3EC97753"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374" w:type="dxa"/>
          </w:tcPr>
          <w:p w14:paraId="51F3740F"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9071F" w:rsidRPr="00E53977" w14:paraId="221DCF9F" w14:textId="77777777" w:rsidTr="00FF581B">
        <w:tc>
          <w:tcPr>
            <w:cnfStyle w:val="001000000000" w:firstRow="0" w:lastRow="0" w:firstColumn="1" w:lastColumn="0" w:oddVBand="0" w:evenVBand="0" w:oddHBand="0" w:evenHBand="0" w:firstRowFirstColumn="0" w:firstRowLastColumn="0" w:lastRowFirstColumn="0" w:lastRowLastColumn="0"/>
            <w:tcW w:w="3842" w:type="dxa"/>
            <w:vAlign w:val="center"/>
          </w:tcPr>
          <w:p w14:paraId="4C900303" w14:textId="77777777" w:rsidR="00B9071F" w:rsidRPr="00E53977" w:rsidRDefault="00B9071F" w:rsidP="002771FB">
            <w:pPr>
              <w:widowControl w:val="0"/>
              <w:rPr>
                <w:b w:val="0"/>
                <w:bCs w:val="0"/>
                <w:color w:val="000000"/>
                <w:sz w:val="20"/>
                <w:szCs w:val="20"/>
              </w:rPr>
            </w:pPr>
            <w:r w:rsidRPr="00E53977">
              <w:rPr>
                <w:color w:val="000000"/>
                <w:sz w:val="20"/>
                <w:szCs w:val="20"/>
              </w:rPr>
              <w:t>Sheep and Goat Plague (PPR)</w:t>
            </w:r>
          </w:p>
        </w:tc>
        <w:tc>
          <w:tcPr>
            <w:tcW w:w="1483" w:type="dxa"/>
          </w:tcPr>
          <w:p w14:paraId="4BD076BC"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01" w:type="dxa"/>
          </w:tcPr>
          <w:p w14:paraId="1767F2AD"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36" w:type="dxa"/>
          </w:tcPr>
          <w:p w14:paraId="09D58B4D"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374" w:type="dxa"/>
          </w:tcPr>
          <w:p w14:paraId="604DC224"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9071F" w:rsidRPr="00E53977" w14:paraId="2A9F75FF" w14:textId="77777777" w:rsidTr="00FF581B">
        <w:tc>
          <w:tcPr>
            <w:cnfStyle w:val="001000000000" w:firstRow="0" w:lastRow="0" w:firstColumn="1" w:lastColumn="0" w:oddVBand="0" w:evenVBand="0" w:oddHBand="0" w:evenHBand="0" w:firstRowFirstColumn="0" w:firstRowLastColumn="0" w:lastRowFirstColumn="0" w:lastRowLastColumn="0"/>
            <w:tcW w:w="3842" w:type="dxa"/>
            <w:vAlign w:val="center"/>
          </w:tcPr>
          <w:p w14:paraId="6CB2D9DB" w14:textId="77777777" w:rsidR="00B9071F" w:rsidRPr="00E53977" w:rsidRDefault="00B9071F" w:rsidP="002771FB">
            <w:pPr>
              <w:widowControl w:val="0"/>
              <w:rPr>
                <w:b w:val="0"/>
                <w:bCs w:val="0"/>
                <w:color w:val="000000"/>
                <w:sz w:val="20"/>
                <w:szCs w:val="20"/>
              </w:rPr>
            </w:pPr>
            <w:r w:rsidRPr="00E53977">
              <w:rPr>
                <w:color w:val="000000"/>
                <w:sz w:val="20"/>
                <w:szCs w:val="20"/>
              </w:rPr>
              <w:t>Crimean-Congo Hemorrhagic fever</w:t>
            </w:r>
          </w:p>
        </w:tc>
        <w:tc>
          <w:tcPr>
            <w:tcW w:w="1483" w:type="dxa"/>
          </w:tcPr>
          <w:p w14:paraId="245C9142"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c>
          <w:tcPr>
            <w:tcW w:w="1501" w:type="dxa"/>
          </w:tcPr>
          <w:p w14:paraId="0E3D5DA2"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536" w:type="dxa"/>
          </w:tcPr>
          <w:p w14:paraId="633DBC5B"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374" w:type="dxa"/>
          </w:tcPr>
          <w:p w14:paraId="526FEB37"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rFonts w:ascii="Arial" w:hAnsi="Arial" w:cs="Arial"/>
                <w:b/>
                <w:sz w:val="20"/>
                <w:szCs w:val="20"/>
              </w:rPr>
              <w:t>X</w:t>
            </w:r>
          </w:p>
        </w:tc>
      </w:tr>
      <w:tr w:rsidR="00B9071F" w:rsidRPr="00E53977" w14:paraId="2F26010E" w14:textId="77777777" w:rsidTr="00FF581B">
        <w:trPr>
          <w:cnfStyle w:val="010000000000" w:firstRow="0" w:lastRow="1" w:firstColumn="0" w:lastColumn="0" w:oddVBand="0" w:evenVBand="0" w:oddHBand="0"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3842" w:type="dxa"/>
          </w:tcPr>
          <w:p w14:paraId="427E8962" w14:textId="77777777" w:rsidR="00B9071F" w:rsidRPr="00E53977" w:rsidRDefault="00B9071F" w:rsidP="002771FB">
            <w:pPr>
              <w:widowControl w:val="0"/>
              <w:jc w:val="left"/>
              <w:rPr>
                <w:sz w:val="20"/>
                <w:szCs w:val="20"/>
                <w:highlight w:val="yellow"/>
              </w:rPr>
            </w:pPr>
          </w:p>
        </w:tc>
        <w:tc>
          <w:tcPr>
            <w:tcW w:w="1483" w:type="dxa"/>
          </w:tcPr>
          <w:p w14:paraId="0B6954F6" w14:textId="77777777" w:rsidR="00B9071F" w:rsidRPr="00E53977" w:rsidRDefault="00B9071F" w:rsidP="002771FB">
            <w:pPr>
              <w:widowControl w:val="0"/>
              <w:jc w:val="center"/>
              <w:cnfStyle w:val="010000000000" w:firstRow="0" w:lastRow="1" w:firstColumn="0" w:lastColumn="0" w:oddVBand="0" w:evenVBand="0" w:oddHBand="0" w:evenHBand="0" w:firstRowFirstColumn="0" w:firstRowLastColumn="0" w:lastRowFirstColumn="0" w:lastRowLastColumn="0"/>
              <w:rPr>
                <w:sz w:val="20"/>
                <w:szCs w:val="20"/>
                <w:highlight w:val="yellow"/>
              </w:rPr>
            </w:pPr>
          </w:p>
        </w:tc>
        <w:tc>
          <w:tcPr>
            <w:tcW w:w="1501" w:type="dxa"/>
          </w:tcPr>
          <w:p w14:paraId="62ED2B78" w14:textId="77777777" w:rsidR="00B9071F" w:rsidRPr="00E53977" w:rsidRDefault="00B9071F" w:rsidP="002771FB">
            <w:pPr>
              <w:widowControl w:val="0"/>
              <w:jc w:val="right"/>
              <w:cnfStyle w:val="010000000000" w:firstRow="0" w:lastRow="1" w:firstColumn="0" w:lastColumn="0" w:oddVBand="0" w:evenVBand="0" w:oddHBand="0" w:evenHBand="0" w:firstRowFirstColumn="0" w:firstRowLastColumn="0" w:lastRowFirstColumn="0" w:lastRowLastColumn="0"/>
              <w:rPr>
                <w:sz w:val="20"/>
                <w:szCs w:val="20"/>
                <w:highlight w:val="yellow"/>
              </w:rPr>
            </w:pPr>
          </w:p>
        </w:tc>
        <w:tc>
          <w:tcPr>
            <w:tcW w:w="1536" w:type="dxa"/>
          </w:tcPr>
          <w:p w14:paraId="3FA98D16" w14:textId="77777777" w:rsidR="00B9071F" w:rsidRPr="00E53977" w:rsidRDefault="00B9071F" w:rsidP="002771FB">
            <w:pPr>
              <w:widowControl w:val="0"/>
              <w:jc w:val="center"/>
              <w:cnfStyle w:val="010000000000" w:firstRow="0" w:lastRow="1" w:firstColumn="0" w:lastColumn="0" w:oddVBand="0" w:evenVBand="0" w:oddHBand="0" w:evenHBand="0" w:firstRowFirstColumn="0" w:firstRowLastColumn="0" w:lastRowFirstColumn="0" w:lastRowLastColumn="0"/>
              <w:rPr>
                <w:sz w:val="20"/>
                <w:szCs w:val="20"/>
                <w:highlight w:val="yellow"/>
              </w:rPr>
            </w:pPr>
          </w:p>
        </w:tc>
        <w:tc>
          <w:tcPr>
            <w:tcW w:w="1374" w:type="dxa"/>
          </w:tcPr>
          <w:p w14:paraId="66964D72" w14:textId="77777777" w:rsidR="00B9071F" w:rsidRPr="00E53977" w:rsidRDefault="00B9071F" w:rsidP="002771FB">
            <w:pPr>
              <w:widowControl w:val="0"/>
              <w:jc w:val="right"/>
              <w:cnfStyle w:val="010000000000" w:firstRow="0" w:lastRow="1" w:firstColumn="0" w:lastColumn="0" w:oddVBand="0" w:evenVBand="0" w:oddHBand="0" w:evenHBand="0" w:firstRowFirstColumn="0" w:firstRowLastColumn="0" w:lastRowFirstColumn="0" w:lastRowLastColumn="0"/>
              <w:rPr>
                <w:sz w:val="20"/>
                <w:szCs w:val="20"/>
                <w:highlight w:val="yellow"/>
              </w:rPr>
            </w:pPr>
          </w:p>
        </w:tc>
      </w:tr>
    </w:tbl>
    <w:p w14:paraId="60034C7A" w14:textId="77777777" w:rsidR="00B9071F" w:rsidRPr="00E53977" w:rsidRDefault="00B9071F" w:rsidP="002771FB">
      <w:pPr>
        <w:widowControl w:val="0"/>
        <w:jc w:val="left"/>
        <w:rPr>
          <w:rFonts w:eastAsiaTheme="majorEastAsia" w:cstheme="minorHAnsi"/>
          <w:b/>
          <w:caps/>
          <w:color w:val="0070C0"/>
          <w:sz w:val="28"/>
          <w:szCs w:val="32"/>
        </w:rPr>
      </w:pPr>
    </w:p>
    <w:p w14:paraId="7999CEB7" w14:textId="77777777" w:rsidR="00B9071F" w:rsidRPr="00E53977" w:rsidRDefault="00B9071F" w:rsidP="002771FB">
      <w:pPr>
        <w:widowControl w:val="0"/>
        <w:rPr>
          <w:b/>
        </w:rPr>
      </w:pPr>
      <w:r w:rsidRPr="00E53977">
        <w:rPr>
          <w:b/>
        </w:rPr>
        <w:t>Total number of animal treated in the Veterinary Surveillance Points (VSPs) 2017</w:t>
      </w:r>
    </w:p>
    <w:tbl>
      <w:tblPr>
        <w:tblStyle w:val="GridTable1Light"/>
        <w:tblpPr w:leftFromText="141" w:rightFromText="141" w:vertAnchor="text" w:tblpY="1"/>
        <w:tblOverlap w:val="never"/>
        <w:tblW w:w="0" w:type="auto"/>
        <w:tblLook w:val="04E0" w:firstRow="1" w:lastRow="1" w:firstColumn="1" w:lastColumn="0" w:noHBand="0" w:noVBand="1"/>
      </w:tblPr>
      <w:tblGrid>
        <w:gridCol w:w="2456"/>
        <w:gridCol w:w="935"/>
        <w:gridCol w:w="961"/>
        <w:gridCol w:w="859"/>
        <w:gridCol w:w="965"/>
        <w:gridCol w:w="846"/>
        <w:gridCol w:w="963"/>
        <w:gridCol w:w="1031"/>
      </w:tblGrid>
      <w:tr w:rsidR="00B9071F" w:rsidRPr="00E53977" w14:paraId="04C92F7E" w14:textId="77777777" w:rsidTr="00FF5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vMerge w:val="restart"/>
            <w:shd w:val="clear" w:color="auto" w:fill="0070C0"/>
            <w:vAlign w:val="center"/>
          </w:tcPr>
          <w:p w14:paraId="1C9C3FFD" w14:textId="77777777" w:rsidR="00B9071F" w:rsidRPr="00E53977" w:rsidRDefault="00B9071F" w:rsidP="002771FB">
            <w:pPr>
              <w:widowControl w:val="0"/>
              <w:jc w:val="left"/>
              <w:rPr>
                <w:color w:val="FFFFFF" w:themeColor="background1"/>
                <w:sz w:val="20"/>
                <w:szCs w:val="20"/>
              </w:rPr>
            </w:pPr>
            <w:r w:rsidRPr="00E53977">
              <w:rPr>
                <w:color w:val="FFFFFF" w:themeColor="background1"/>
                <w:sz w:val="20"/>
                <w:szCs w:val="20"/>
              </w:rPr>
              <w:t>VSP</w:t>
            </w:r>
          </w:p>
        </w:tc>
        <w:tc>
          <w:tcPr>
            <w:tcW w:w="2030" w:type="dxa"/>
            <w:gridSpan w:val="2"/>
            <w:tcBorders>
              <w:bottom w:val="nil"/>
            </w:tcBorders>
            <w:shd w:val="clear" w:color="auto" w:fill="0070C0"/>
          </w:tcPr>
          <w:p w14:paraId="314F89FA" w14:textId="77777777" w:rsidR="00B9071F" w:rsidRPr="00E53977" w:rsidRDefault="00B9071F" w:rsidP="002771FB">
            <w:pPr>
              <w:widowControl w:val="0"/>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E53977">
              <w:rPr>
                <w:color w:val="FFFFFF" w:themeColor="background1"/>
                <w:sz w:val="20"/>
                <w:szCs w:val="20"/>
              </w:rPr>
              <w:t>Spring</w:t>
            </w:r>
          </w:p>
        </w:tc>
        <w:tc>
          <w:tcPr>
            <w:tcW w:w="1931" w:type="dxa"/>
            <w:gridSpan w:val="2"/>
            <w:tcBorders>
              <w:bottom w:val="nil"/>
            </w:tcBorders>
            <w:shd w:val="clear" w:color="auto" w:fill="0070C0"/>
          </w:tcPr>
          <w:p w14:paraId="536D1715" w14:textId="77777777" w:rsidR="00B9071F" w:rsidRPr="00E53977" w:rsidRDefault="00B9071F" w:rsidP="002771FB">
            <w:pPr>
              <w:widowControl w:val="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Autumn</w:t>
            </w:r>
          </w:p>
        </w:tc>
        <w:tc>
          <w:tcPr>
            <w:tcW w:w="2967" w:type="dxa"/>
            <w:gridSpan w:val="3"/>
            <w:tcBorders>
              <w:bottom w:val="nil"/>
            </w:tcBorders>
            <w:shd w:val="clear" w:color="auto" w:fill="0070C0"/>
          </w:tcPr>
          <w:p w14:paraId="1B1B639D" w14:textId="77777777" w:rsidR="00B9071F" w:rsidRPr="00E53977" w:rsidRDefault="00B9071F" w:rsidP="002771FB">
            <w:pPr>
              <w:widowControl w:val="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Total</w:t>
            </w:r>
          </w:p>
        </w:tc>
      </w:tr>
      <w:tr w:rsidR="00B9071F" w:rsidRPr="00E53977" w14:paraId="264AF826" w14:textId="77777777" w:rsidTr="00FF581B">
        <w:tc>
          <w:tcPr>
            <w:cnfStyle w:val="001000000000" w:firstRow="0" w:lastRow="0" w:firstColumn="1" w:lastColumn="0" w:oddVBand="0" w:evenVBand="0" w:oddHBand="0" w:evenHBand="0" w:firstRowFirstColumn="0" w:firstRowLastColumn="0" w:lastRowFirstColumn="0" w:lastRowLastColumn="0"/>
            <w:tcW w:w="2808" w:type="dxa"/>
            <w:vMerge/>
            <w:shd w:val="clear" w:color="auto" w:fill="D9D9D9" w:themeFill="background1" w:themeFillShade="D9"/>
            <w:vAlign w:val="center"/>
          </w:tcPr>
          <w:p w14:paraId="352FA3C1" w14:textId="77777777" w:rsidR="00B9071F" w:rsidRPr="00E53977" w:rsidRDefault="00B9071F" w:rsidP="002771FB">
            <w:pPr>
              <w:widowControl w:val="0"/>
              <w:jc w:val="right"/>
              <w:rPr>
                <w:b w:val="0"/>
                <w:bCs w:val="0"/>
                <w:color w:val="000000"/>
                <w:sz w:val="20"/>
                <w:szCs w:val="20"/>
              </w:rPr>
            </w:pPr>
          </w:p>
        </w:tc>
        <w:tc>
          <w:tcPr>
            <w:tcW w:w="1034" w:type="dxa"/>
            <w:tcBorders>
              <w:top w:val="single" w:sz="12" w:space="0" w:color="999999" w:themeColor="text1" w:themeTint="66"/>
            </w:tcBorders>
            <w:shd w:val="clear" w:color="auto" w:fill="0070C0"/>
          </w:tcPr>
          <w:p w14:paraId="7FA9F8AE"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E53977">
              <w:rPr>
                <w:b/>
                <w:color w:val="FFFFFF" w:themeColor="background1"/>
                <w:sz w:val="20"/>
                <w:szCs w:val="20"/>
              </w:rPr>
              <w:t>LR</w:t>
            </w:r>
          </w:p>
        </w:tc>
        <w:tc>
          <w:tcPr>
            <w:tcW w:w="996" w:type="dxa"/>
            <w:tcBorders>
              <w:top w:val="single" w:sz="12" w:space="0" w:color="999999" w:themeColor="text1" w:themeTint="66"/>
            </w:tcBorders>
            <w:shd w:val="clear" w:color="auto" w:fill="0070C0"/>
          </w:tcPr>
          <w:p w14:paraId="36B615AF"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E53977">
              <w:rPr>
                <w:b/>
                <w:color w:val="FFFFFF" w:themeColor="background1"/>
                <w:sz w:val="20"/>
                <w:szCs w:val="20"/>
              </w:rPr>
              <w:t>SR</w:t>
            </w:r>
          </w:p>
        </w:tc>
        <w:tc>
          <w:tcPr>
            <w:tcW w:w="930" w:type="dxa"/>
            <w:tcBorders>
              <w:top w:val="single" w:sz="12" w:space="0" w:color="999999" w:themeColor="text1" w:themeTint="66"/>
            </w:tcBorders>
            <w:shd w:val="clear" w:color="auto" w:fill="0070C0"/>
          </w:tcPr>
          <w:p w14:paraId="026AB8C3"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E53977">
              <w:rPr>
                <w:b/>
                <w:color w:val="FFFFFF" w:themeColor="background1"/>
                <w:sz w:val="20"/>
                <w:szCs w:val="20"/>
              </w:rPr>
              <w:t>LR</w:t>
            </w:r>
          </w:p>
        </w:tc>
        <w:tc>
          <w:tcPr>
            <w:tcW w:w="1001" w:type="dxa"/>
            <w:tcBorders>
              <w:top w:val="single" w:sz="12" w:space="0" w:color="999999" w:themeColor="text1" w:themeTint="66"/>
            </w:tcBorders>
            <w:shd w:val="clear" w:color="auto" w:fill="0070C0"/>
          </w:tcPr>
          <w:p w14:paraId="533ED0AE"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E53977">
              <w:rPr>
                <w:b/>
                <w:color w:val="FFFFFF" w:themeColor="background1"/>
                <w:sz w:val="20"/>
                <w:szCs w:val="20"/>
              </w:rPr>
              <w:t>SR</w:t>
            </w:r>
          </w:p>
        </w:tc>
        <w:tc>
          <w:tcPr>
            <w:tcW w:w="876" w:type="dxa"/>
            <w:tcBorders>
              <w:top w:val="single" w:sz="12" w:space="0" w:color="999999" w:themeColor="text1" w:themeTint="66"/>
            </w:tcBorders>
            <w:shd w:val="clear" w:color="auto" w:fill="0070C0"/>
          </w:tcPr>
          <w:p w14:paraId="2BD873C3"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E53977">
              <w:rPr>
                <w:b/>
                <w:color w:val="FFFFFF" w:themeColor="background1"/>
                <w:sz w:val="20"/>
                <w:szCs w:val="20"/>
              </w:rPr>
              <w:t>LR</w:t>
            </w:r>
          </w:p>
        </w:tc>
        <w:tc>
          <w:tcPr>
            <w:tcW w:w="999" w:type="dxa"/>
            <w:tcBorders>
              <w:top w:val="single" w:sz="12" w:space="0" w:color="999999" w:themeColor="text1" w:themeTint="66"/>
            </w:tcBorders>
            <w:shd w:val="clear" w:color="auto" w:fill="0070C0"/>
          </w:tcPr>
          <w:p w14:paraId="29DDD470"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E53977">
              <w:rPr>
                <w:b/>
                <w:color w:val="FFFFFF" w:themeColor="background1"/>
                <w:sz w:val="20"/>
                <w:szCs w:val="20"/>
              </w:rPr>
              <w:t>SR</w:t>
            </w:r>
          </w:p>
        </w:tc>
        <w:tc>
          <w:tcPr>
            <w:tcW w:w="1092" w:type="dxa"/>
            <w:tcBorders>
              <w:top w:val="single" w:sz="12" w:space="0" w:color="999999" w:themeColor="text1" w:themeTint="66"/>
            </w:tcBorders>
            <w:shd w:val="clear" w:color="auto" w:fill="0070C0"/>
          </w:tcPr>
          <w:p w14:paraId="3E2B82F0" w14:textId="77777777" w:rsidR="00B9071F" w:rsidRPr="00E53977" w:rsidRDefault="00B9071F" w:rsidP="002771FB">
            <w:pPr>
              <w:widowControl w:val="0"/>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E53977">
              <w:rPr>
                <w:b/>
                <w:color w:val="FFFFFF" w:themeColor="background1"/>
                <w:sz w:val="20"/>
                <w:szCs w:val="20"/>
              </w:rPr>
              <w:t>Sum</w:t>
            </w:r>
          </w:p>
        </w:tc>
      </w:tr>
      <w:tr w:rsidR="00B9071F" w:rsidRPr="00E53977" w14:paraId="5EC5012E" w14:textId="77777777" w:rsidTr="00FF581B">
        <w:tc>
          <w:tcPr>
            <w:cnfStyle w:val="001000000000" w:firstRow="0" w:lastRow="0" w:firstColumn="1" w:lastColumn="0" w:oddVBand="0" w:evenVBand="0" w:oddHBand="0" w:evenHBand="0" w:firstRowFirstColumn="0" w:firstRowLastColumn="0" w:lastRowFirstColumn="0" w:lastRowLastColumn="0"/>
            <w:tcW w:w="2808" w:type="dxa"/>
          </w:tcPr>
          <w:p w14:paraId="251E7DCF" w14:textId="77777777" w:rsidR="00B9071F" w:rsidRPr="00E53977" w:rsidRDefault="00B9071F" w:rsidP="002771FB">
            <w:pPr>
              <w:widowControl w:val="0"/>
              <w:rPr>
                <w:b w:val="0"/>
                <w:bCs w:val="0"/>
                <w:color w:val="000000"/>
                <w:sz w:val="20"/>
                <w:szCs w:val="20"/>
              </w:rPr>
            </w:pPr>
            <w:r w:rsidRPr="00E53977">
              <w:rPr>
                <w:sz w:val="20"/>
                <w:szCs w:val="20"/>
              </w:rPr>
              <w:t>Rustavi</w:t>
            </w:r>
          </w:p>
        </w:tc>
        <w:tc>
          <w:tcPr>
            <w:tcW w:w="1034" w:type="dxa"/>
          </w:tcPr>
          <w:p w14:paraId="1DCD23ED"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2,447</w:t>
            </w:r>
          </w:p>
        </w:tc>
        <w:tc>
          <w:tcPr>
            <w:tcW w:w="996" w:type="dxa"/>
          </w:tcPr>
          <w:p w14:paraId="61E7F7A3"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84,980</w:t>
            </w:r>
          </w:p>
        </w:tc>
        <w:tc>
          <w:tcPr>
            <w:tcW w:w="930" w:type="dxa"/>
          </w:tcPr>
          <w:p w14:paraId="1B141F6E"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2,342</w:t>
            </w:r>
          </w:p>
        </w:tc>
        <w:tc>
          <w:tcPr>
            <w:tcW w:w="1001" w:type="dxa"/>
          </w:tcPr>
          <w:p w14:paraId="6E06720F"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151,050</w:t>
            </w:r>
          </w:p>
        </w:tc>
        <w:tc>
          <w:tcPr>
            <w:tcW w:w="876" w:type="dxa"/>
          </w:tcPr>
          <w:p w14:paraId="0852A502"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4,789</w:t>
            </w:r>
          </w:p>
        </w:tc>
        <w:tc>
          <w:tcPr>
            <w:tcW w:w="999" w:type="dxa"/>
          </w:tcPr>
          <w:p w14:paraId="6591056E"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236,030</w:t>
            </w:r>
          </w:p>
        </w:tc>
        <w:tc>
          <w:tcPr>
            <w:tcW w:w="1092" w:type="dxa"/>
          </w:tcPr>
          <w:p w14:paraId="078A46A6"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240,819</w:t>
            </w:r>
          </w:p>
        </w:tc>
      </w:tr>
      <w:tr w:rsidR="00B9071F" w:rsidRPr="00E53977" w14:paraId="4A26882D" w14:textId="77777777" w:rsidTr="00FF581B">
        <w:tc>
          <w:tcPr>
            <w:cnfStyle w:val="001000000000" w:firstRow="0" w:lastRow="0" w:firstColumn="1" w:lastColumn="0" w:oddVBand="0" w:evenVBand="0" w:oddHBand="0" w:evenHBand="0" w:firstRowFirstColumn="0" w:firstRowLastColumn="0" w:lastRowFirstColumn="0" w:lastRowLastColumn="0"/>
            <w:tcW w:w="2808" w:type="dxa"/>
          </w:tcPr>
          <w:p w14:paraId="46CB285D" w14:textId="77777777" w:rsidR="00B9071F" w:rsidRPr="00E53977" w:rsidRDefault="00B9071F" w:rsidP="002771FB">
            <w:pPr>
              <w:widowControl w:val="0"/>
              <w:rPr>
                <w:b w:val="0"/>
                <w:bCs w:val="0"/>
                <w:color w:val="000000"/>
                <w:sz w:val="20"/>
                <w:szCs w:val="20"/>
              </w:rPr>
            </w:pPr>
            <w:r w:rsidRPr="00E53977">
              <w:rPr>
                <w:sz w:val="20"/>
                <w:szCs w:val="20"/>
              </w:rPr>
              <w:t>Marneuli</w:t>
            </w:r>
          </w:p>
        </w:tc>
        <w:tc>
          <w:tcPr>
            <w:tcW w:w="1034" w:type="dxa"/>
          </w:tcPr>
          <w:p w14:paraId="7AD84BC7"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1,008</w:t>
            </w:r>
          </w:p>
        </w:tc>
        <w:tc>
          <w:tcPr>
            <w:tcW w:w="996" w:type="dxa"/>
          </w:tcPr>
          <w:p w14:paraId="56E002E2"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68,610</w:t>
            </w:r>
          </w:p>
        </w:tc>
        <w:tc>
          <w:tcPr>
            <w:tcW w:w="930" w:type="dxa"/>
          </w:tcPr>
          <w:p w14:paraId="6ADB8006"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1,842</w:t>
            </w:r>
          </w:p>
        </w:tc>
        <w:tc>
          <w:tcPr>
            <w:tcW w:w="1001" w:type="dxa"/>
          </w:tcPr>
          <w:p w14:paraId="01CB63EA"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109,210</w:t>
            </w:r>
          </w:p>
        </w:tc>
        <w:tc>
          <w:tcPr>
            <w:tcW w:w="876" w:type="dxa"/>
          </w:tcPr>
          <w:p w14:paraId="72C4B3B0"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2,850</w:t>
            </w:r>
          </w:p>
        </w:tc>
        <w:tc>
          <w:tcPr>
            <w:tcW w:w="999" w:type="dxa"/>
          </w:tcPr>
          <w:p w14:paraId="7F2E632B"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177,820</w:t>
            </w:r>
          </w:p>
        </w:tc>
        <w:tc>
          <w:tcPr>
            <w:tcW w:w="1092" w:type="dxa"/>
          </w:tcPr>
          <w:p w14:paraId="319F5FAF"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180,670</w:t>
            </w:r>
          </w:p>
        </w:tc>
      </w:tr>
      <w:tr w:rsidR="00B9071F" w:rsidRPr="00E53977" w14:paraId="269E514A" w14:textId="77777777" w:rsidTr="00FF581B">
        <w:tc>
          <w:tcPr>
            <w:cnfStyle w:val="001000000000" w:firstRow="0" w:lastRow="0" w:firstColumn="1" w:lastColumn="0" w:oddVBand="0" w:evenVBand="0" w:oddHBand="0" w:evenHBand="0" w:firstRowFirstColumn="0" w:firstRowLastColumn="0" w:lastRowFirstColumn="0" w:lastRowLastColumn="0"/>
            <w:tcW w:w="2808" w:type="dxa"/>
          </w:tcPr>
          <w:p w14:paraId="43430AC0" w14:textId="77777777" w:rsidR="00B9071F" w:rsidRPr="00E53977" w:rsidRDefault="00B9071F" w:rsidP="002771FB">
            <w:pPr>
              <w:widowControl w:val="0"/>
              <w:rPr>
                <w:b w:val="0"/>
                <w:bCs w:val="0"/>
                <w:color w:val="000000"/>
                <w:sz w:val="20"/>
                <w:szCs w:val="20"/>
              </w:rPr>
            </w:pPr>
            <w:r w:rsidRPr="00E53977">
              <w:rPr>
                <w:sz w:val="20"/>
                <w:szCs w:val="20"/>
              </w:rPr>
              <w:t>Dedoplistskaro</w:t>
            </w:r>
          </w:p>
        </w:tc>
        <w:tc>
          <w:tcPr>
            <w:tcW w:w="1034" w:type="dxa"/>
          </w:tcPr>
          <w:p w14:paraId="7E0050DF"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878</w:t>
            </w:r>
          </w:p>
        </w:tc>
        <w:tc>
          <w:tcPr>
            <w:tcW w:w="996" w:type="dxa"/>
          </w:tcPr>
          <w:p w14:paraId="6D2B7524"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27,645</w:t>
            </w:r>
          </w:p>
        </w:tc>
        <w:tc>
          <w:tcPr>
            <w:tcW w:w="930" w:type="dxa"/>
          </w:tcPr>
          <w:p w14:paraId="3739E947"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1,516</w:t>
            </w:r>
          </w:p>
        </w:tc>
        <w:tc>
          <w:tcPr>
            <w:tcW w:w="1001" w:type="dxa"/>
          </w:tcPr>
          <w:p w14:paraId="43B724BB"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40,515</w:t>
            </w:r>
          </w:p>
        </w:tc>
        <w:tc>
          <w:tcPr>
            <w:tcW w:w="876" w:type="dxa"/>
          </w:tcPr>
          <w:p w14:paraId="6408EEE7"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2,394</w:t>
            </w:r>
          </w:p>
        </w:tc>
        <w:tc>
          <w:tcPr>
            <w:tcW w:w="999" w:type="dxa"/>
          </w:tcPr>
          <w:p w14:paraId="45C1ED02"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68,160</w:t>
            </w:r>
          </w:p>
        </w:tc>
        <w:tc>
          <w:tcPr>
            <w:tcW w:w="1092" w:type="dxa"/>
          </w:tcPr>
          <w:p w14:paraId="3BAE3E71"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70,554</w:t>
            </w:r>
          </w:p>
        </w:tc>
      </w:tr>
      <w:tr w:rsidR="00B9071F" w:rsidRPr="00E53977" w14:paraId="44CE331C" w14:textId="77777777" w:rsidTr="00FF581B">
        <w:tc>
          <w:tcPr>
            <w:cnfStyle w:val="001000000000" w:firstRow="0" w:lastRow="0" w:firstColumn="1" w:lastColumn="0" w:oddVBand="0" w:evenVBand="0" w:oddHBand="0" w:evenHBand="0" w:firstRowFirstColumn="0" w:firstRowLastColumn="0" w:lastRowFirstColumn="0" w:lastRowLastColumn="0"/>
            <w:tcW w:w="2808" w:type="dxa"/>
          </w:tcPr>
          <w:p w14:paraId="22A14E5D" w14:textId="77777777" w:rsidR="00B9071F" w:rsidRPr="00E53977" w:rsidRDefault="00B9071F" w:rsidP="002771FB">
            <w:pPr>
              <w:widowControl w:val="0"/>
              <w:rPr>
                <w:b w:val="0"/>
                <w:bCs w:val="0"/>
                <w:color w:val="000000"/>
                <w:sz w:val="20"/>
                <w:szCs w:val="20"/>
              </w:rPr>
            </w:pPr>
            <w:r w:rsidRPr="00E53977">
              <w:rPr>
                <w:sz w:val="20"/>
                <w:szCs w:val="20"/>
              </w:rPr>
              <w:t>Kvareli</w:t>
            </w:r>
          </w:p>
        </w:tc>
        <w:tc>
          <w:tcPr>
            <w:tcW w:w="1034" w:type="dxa"/>
          </w:tcPr>
          <w:p w14:paraId="21480E65"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0</w:t>
            </w:r>
          </w:p>
        </w:tc>
        <w:tc>
          <w:tcPr>
            <w:tcW w:w="996" w:type="dxa"/>
          </w:tcPr>
          <w:p w14:paraId="645CEC8A"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0</w:t>
            </w:r>
          </w:p>
        </w:tc>
        <w:tc>
          <w:tcPr>
            <w:tcW w:w="930" w:type="dxa"/>
          </w:tcPr>
          <w:p w14:paraId="5BEB5EA5"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182</w:t>
            </w:r>
          </w:p>
        </w:tc>
        <w:tc>
          <w:tcPr>
            <w:tcW w:w="1001" w:type="dxa"/>
          </w:tcPr>
          <w:p w14:paraId="6F9ACB16"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30,171</w:t>
            </w:r>
          </w:p>
        </w:tc>
        <w:tc>
          <w:tcPr>
            <w:tcW w:w="876" w:type="dxa"/>
          </w:tcPr>
          <w:p w14:paraId="206E0175"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182</w:t>
            </w:r>
          </w:p>
        </w:tc>
        <w:tc>
          <w:tcPr>
            <w:tcW w:w="999" w:type="dxa"/>
          </w:tcPr>
          <w:p w14:paraId="373A9FB9"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30,171</w:t>
            </w:r>
          </w:p>
        </w:tc>
        <w:tc>
          <w:tcPr>
            <w:tcW w:w="1092" w:type="dxa"/>
          </w:tcPr>
          <w:p w14:paraId="5F0E5B37"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30,353</w:t>
            </w:r>
          </w:p>
        </w:tc>
      </w:tr>
      <w:tr w:rsidR="00B9071F" w:rsidRPr="00E53977" w14:paraId="37C19797" w14:textId="77777777" w:rsidTr="00FF581B">
        <w:tc>
          <w:tcPr>
            <w:cnfStyle w:val="001000000000" w:firstRow="0" w:lastRow="0" w:firstColumn="1" w:lastColumn="0" w:oddVBand="0" w:evenVBand="0" w:oddHBand="0" w:evenHBand="0" w:firstRowFirstColumn="0" w:firstRowLastColumn="0" w:lastRowFirstColumn="0" w:lastRowLastColumn="0"/>
            <w:tcW w:w="2808" w:type="dxa"/>
          </w:tcPr>
          <w:p w14:paraId="358B82C1" w14:textId="77777777" w:rsidR="00B9071F" w:rsidRPr="00E53977" w:rsidRDefault="00B9071F" w:rsidP="002771FB">
            <w:pPr>
              <w:widowControl w:val="0"/>
              <w:rPr>
                <w:b w:val="0"/>
                <w:bCs w:val="0"/>
                <w:color w:val="000000"/>
                <w:sz w:val="20"/>
                <w:szCs w:val="20"/>
              </w:rPr>
            </w:pPr>
            <w:r w:rsidRPr="00E53977">
              <w:rPr>
                <w:sz w:val="20"/>
                <w:szCs w:val="20"/>
              </w:rPr>
              <w:t>Signagi</w:t>
            </w:r>
          </w:p>
        </w:tc>
        <w:tc>
          <w:tcPr>
            <w:tcW w:w="1034" w:type="dxa"/>
          </w:tcPr>
          <w:p w14:paraId="4423E7D3"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2,085</w:t>
            </w:r>
          </w:p>
        </w:tc>
        <w:tc>
          <w:tcPr>
            <w:tcW w:w="996" w:type="dxa"/>
          </w:tcPr>
          <w:p w14:paraId="30816EF5"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66,138</w:t>
            </w:r>
          </w:p>
        </w:tc>
        <w:tc>
          <w:tcPr>
            <w:tcW w:w="930" w:type="dxa"/>
          </w:tcPr>
          <w:p w14:paraId="708A76A8"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582</w:t>
            </w:r>
          </w:p>
        </w:tc>
        <w:tc>
          <w:tcPr>
            <w:tcW w:w="1001" w:type="dxa"/>
          </w:tcPr>
          <w:p w14:paraId="0AF6FA14"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52,080</w:t>
            </w:r>
          </w:p>
        </w:tc>
        <w:tc>
          <w:tcPr>
            <w:tcW w:w="876" w:type="dxa"/>
          </w:tcPr>
          <w:p w14:paraId="3FE48C3C"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2,667</w:t>
            </w:r>
          </w:p>
        </w:tc>
        <w:tc>
          <w:tcPr>
            <w:tcW w:w="999" w:type="dxa"/>
          </w:tcPr>
          <w:p w14:paraId="3DE4B1C3"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118,218</w:t>
            </w:r>
          </w:p>
        </w:tc>
        <w:tc>
          <w:tcPr>
            <w:tcW w:w="1092" w:type="dxa"/>
          </w:tcPr>
          <w:p w14:paraId="09846920"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120,885</w:t>
            </w:r>
          </w:p>
        </w:tc>
      </w:tr>
      <w:tr w:rsidR="00B9071F" w:rsidRPr="00E53977" w14:paraId="675681FA" w14:textId="77777777" w:rsidTr="00FF581B">
        <w:tc>
          <w:tcPr>
            <w:cnfStyle w:val="001000000000" w:firstRow="0" w:lastRow="0" w:firstColumn="1" w:lastColumn="0" w:oddVBand="0" w:evenVBand="0" w:oddHBand="0" w:evenHBand="0" w:firstRowFirstColumn="0" w:firstRowLastColumn="0" w:lastRowFirstColumn="0" w:lastRowLastColumn="0"/>
            <w:tcW w:w="2808" w:type="dxa"/>
          </w:tcPr>
          <w:p w14:paraId="18E140B8" w14:textId="77777777" w:rsidR="00B9071F" w:rsidRPr="00E53977" w:rsidRDefault="00B9071F" w:rsidP="002771FB">
            <w:pPr>
              <w:widowControl w:val="0"/>
              <w:rPr>
                <w:b w:val="0"/>
                <w:bCs w:val="0"/>
                <w:color w:val="000000"/>
                <w:sz w:val="20"/>
                <w:szCs w:val="20"/>
              </w:rPr>
            </w:pPr>
            <w:r w:rsidRPr="00E53977">
              <w:rPr>
                <w:sz w:val="20"/>
                <w:szCs w:val="20"/>
              </w:rPr>
              <w:t>Subtotal</w:t>
            </w:r>
          </w:p>
        </w:tc>
        <w:tc>
          <w:tcPr>
            <w:tcW w:w="1034" w:type="dxa"/>
          </w:tcPr>
          <w:p w14:paraId="147C838D"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6,418</w:t>
            </w:r>
          </w:p>
        </w:tc>
        <w:tc>
          <w:tcPr>
            <w:tcW w:w="996" w:type="dxa"/>
          </w:tcPr>
          <w:p w14:paraId="07CF6E40"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247,373</w:t>
            </w:r>
          </w:p>
        </w:tc>
        <w:tc>
          <w:tcPr>
            <w:tcW w:w="930" w:type="dxa"/>
          </w:tcPr>
          <w:p w14:paraId="3BC53F4D"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6,464</w:t>
            </w:r>
          </w:p>
        </w:tc>
        <w:tc>
          <w:tcPr>
            <w:tcW w:w="1001" w:type="dxa"/>
          </w:tcPr>
          <w:p w14:paraId="191A53B4"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383,026</w:t>
            </w:r>
          </w:p>
        </w:tc>
        <w:tc>
          <w:tcPr>
            <w:tcW w:w="876" w:type="dxa"/>
          </w:tcPr>
          <w:p w14:paraId="2209D4FE"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12,882</w:t>
            </w:r>
          </w:p>
        </w:tc>
        <w:tc>
          <w:tcPr>
            <w:tcW w:w="999" w:type="dxa"/>
          </w:tcPr>
          <w:p w14:paraId="6E3CDB61"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630,399</w:t>
            </w:r>
          </w:p>
        </w:tc>
        <w:tc>
          <w:tcPr>
            <w:tcW w:w="1092" w:type="dxa"/>
          </w:tcPr>
          <w:p w14:paraId="2FB9008A"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643,281</w:t>
            </w:r>
          </w:p>
        </w:tc>
      </w:tr>
      <w:tr w:rsidR="00B9071F" w:rsidRPr="00E53977" w14:paraId="2EEDE369" w14:textId="77777777" w:rsidTr="00FF581B">
        <w:trPr>
          <w:cnfStyle w:val="010000000000" w:firstRow="0" w:lastRow="1" w:firstColumn="0" w:lastColumn="0" w:oddVBand="0" w:evenVBand="0" w:oddHBand="0"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2808" w:type="dxa"/>
            <w:shd w:val="clear" w:color="auto" w:fill="FFF2CC" w:themeFill="accent4" w:themeFillTint="33"/>
          </w:tcPr>
          <w:p w14:paraId="7CC53779" w14:textId="77777777" w:rsidR="00B9071F" w:rsidRPr="00E53977" w:rsidRDefault="00B9071F" w:rsidP="002771FB">
            <w:pPr>
              <w:widowControl w:val="0"/>
              <w:jc w:val="left"/>
              <w:rPr>
                <w:sz w:val="20"/>
                <w:szCs w:val="20"/>
                <w:highlight w:val="yellow"/>
              </w:rPr>
            </w:pPr>
            <w:r w:rsidRPr="00E53977">
              <w:rPr>
                <w:sz w:val="20"/>
                <w:szCs w:val="20"/>
              </w:rPr>
              <w:t>Sum</w:t>
            </w:r>
          </w:p>
        </w:tc>
        <w:tc>
          <w:tcPr>
            <w:tcW w:w="2030" w:type="dxa"/>
            <w:gridSpan w:val="2"/>
            <w:shd w:val="clear" w:color="auto" w:fill="FFF2CC" w:themeFill="accent4" w:themeFillTint="33"/>
          </w:tcPr>
          <w:p w14:paraId="34EE0D20" w14:textId="77777777" w:rsidR="00B9071F" w:rsidRPr="00E53977" w:rsidRDefault="00B9071F" w:rsidP="002771FB">
            <w:pPr>
              <w:widowControl w:val="0"/>
              <w:jc w:val="center"/>
              <w:cnfStyle w:val="010000000000" w:firstRow="0" w:lastRow="1" w:firstColumn="0" w:lastColumn="0" w:oddVBand="0" w:evenVBand="0" w:oddHBand="0" w:evenHBand="0" w:firstRowFirstColumn="0" w:firstRowLastColumn="0" w:lastRowFirstColumn="0" w:lastRowLastColumn="0"/>
              <w:rPr>
                <w:sz w:val="20"/>
                <w:szCs w:val="20"/>
                <w:highlight w:val="yellow"/>
              </w:rPr>
            </w:pPr>
            <w:r w:rsidRPr="00E53977">
              <w:rPr>
                <w:sz w:val="20"/>
                <w:szCs w:val="20"/>
              </w:rPr>
              <w:t>253,791</w:t>
            </w:r>
          </w:p>
        </w:tc>
        <w:tc>
          <w:tcPr>
            <w:tcW w:w="1931" w:type="dxa"/>
            <w:gridSpan w:val="2"/>
            <w:shd w:val="clear" w:color="auto" w:fill="FFF2CC" w:themeFill="accent4" w:themeFillTint="33"/>
          </w:tcPr>
          <w:p w14:paraId="2B7A5B52" w14:textId="77777777" w:rsidR="00B9071F" w:rsidRPr="00E53977" w:rsidRDefault="00B9071F" w:rsidP="002771FB">
            <w:pPr>
              <w:widowControl w:val="0"/>
              <w:jc w:val="center"/>
              <w:cnfStyle w:val="010000000000" w:firstRow="0" w:lastRow="1" w:firstColumn="0" w:lastColumn="0" w:oddVBand="0" w:evenVBand="0" w:oddHBand="0" w:evenHBand="0" w:firstRowFirstColumn="0" w:firstRowLastColumn="0" w:lastRowFirstColumn="0" w:lastRowLastColumn="0"/>
              <w:rPr>
                <w:sz w:val="20"/>
                <w:szCs w:val="20"/>
                <w:highlight w:val="yellow"/>
              </w:rPr>
            </w:pPr>
            <w:r w:rsidRPr="00E53977">
              <w:rPr>
                <w:sz w:val="20"/>
                <w:szCs w:val="20"/>
              </w:rPr>
              <w:t>389,490</w:t>
            </w:r>
          </w:p>
        </w:tc>
        <w:tc>
          <w:tcPr>
            <w:tcW w:w="1875" w:type="dxa"/>
            <w:gridSpan w:val="2"/>
            <w:shd w:val="clear" w:color="auto" w:fill="FFF2CC" w:themeFill="accent4" w:themeFillTint="33"/>
          </w:tcPr>
          <w:p w14:paraId="100E1256" w14:textId="77777777" w:rsidR="00B9071F" w:rsidRPr="00E53977" w:rsidRDefault="00B9071F" w:rsidP="002771FB">
            <w:pPr>
              <w:widowControl w:val="0"/>
              <w:jc w:val="center"/>
              <w:cnfStyle w:val="010000000000" w:firstRow="0" w:lastRow="1" w:firstColumn="0" w:lastColumn="0" w:oddVBand="0" w:evenVBand="0" w:oddHBand="0" w:evenHBand="0" w:firstRowFirstColumn="0" w:firstRowLastColumn="0" w:lastRowFirstColumn="0" w:lastRowLastColumn="0"/>
              <w:rPr>
                <w:sz w:val="20"/>
                <w:szCs w:val="20"/>
                <w:highlight w:val="yellow"/>
              </w:rPr>
            </w:pPr>
            <w:r w:rsidRPr="00E53977">
              <w:rPr>
                <w:sz w:val="20"/>
                <w:szCs w:val="20"/>
              </w:rPr>
              <w:t>643,281</w:t>
            </w:r>
          </w:p>
        </w:tc>
        <w:tc>
          <w:tcPr>
            <w:tcW w:w="1092" w:type="dxa"/>
            <w:shd w:val="clear" w:color="auto" w:fill="FFF2CC" w:themeFill="accent4" w:themeFillTint="33"/>
          </w:tcPr>
          <w:p w14:paraId="06E233E7" w14:textId="77777777" w:rsidR="00B9071F" w:rsidRPr="00E53977" w:rsidRDefault="00B9071F" w:rsidP="002771FB">
            <w:pPr>
              <w:widowControl w:val="0"/>
              <w:jc w:val="right"/>
              <w:cnfStyle w:val="010000000000" w:firstRow="0" w:lastRow="1" w:firstColumn="0" w:lastColumn="0" w:oddVBand="0" w:evenVBand="0" w:oddHBand="0" w:evenHBand="0" w:firstRowFirstColumn="0" w:firstRowLastColumn="0" w:lastRowFirstColumn="0" w:lastRowLastColumn="0"/>
              <w:rPr>
                <w:sz w:val="20"/>
                <w:szCs w:val="20"/>
                <w:highlight w:val="yellow"/>
              </w:rPr>
            </w:pPr>
          </w:p>
        </w:tc>
      </w:tr>
    </w:tbl>
    <w:p w14:paraId="7739F959" w14:textId="77777777" w:rsidR="00B9071F" w:rsidRPr="00E53977" w:rsidRDefault="00B9071F" w:rsidP="002771FB">
      <w:pPr>
        <w:widowControl w:val="0"/>
        <w:rPr>
          <w:rFonts w:cs="Times New Roman"/>
          <w:i/>
          <w:szCs w:val="24"/>
        </w:rPr>
      </w:pPr>
      <w:r w:rsidRPr="00E53977">
        <w:rPr>
          <w:rFonts w:cs="Times New Roman"/>
          <w:i/>
          <w:szCs w:val="24"/>
        </w:rPr>
        <w:t>Note: LR – Large ruminants (i.e. cattle, buffalo), SR – Small ruminants (i.e. sheep, goats)</w:t>
      </w:r>
    </w:p>
    <w:p w14:paraId="061FD31B" w14:textId="77777777" w:rsidR="00B9071F" w:rsidRPr="00E53977" w:rsidRDefault="00B9071F" w:rsidP="002771FB">
      <w:pPr>
        <w:widowControl w:val="0"/>
        <w:rPr>
          <w:rFonts w:cs="Times New Roman"/>
          <w:i/>
          <w:szCs w:val="24"/>
        </w:rPr>
      </w:pPr>
    </w:p>
    <w:p w14:paraId="0DF26B62" w14:textId="77777777" w:rsidR="00B9071F" w:rsidRPr="00E53977" w:rsidRDefault="00B9071F" w:rsidP="002771FB">
      <w:pPr>
        <w:widowControl w:val="0"/>
        <w:rPr>
          <w:b/>
        </w:rPr>
      </w:pPr>
      <w:r w:rsidRPr="00E53977">
        <w:rPr>
          <w:b/>
        </w:rPr>
        <w:t>Results by regions of the Brucellosis Serosurvey in 2017</w:t>
      </w:r>
    </w:p>
    <w:tbl>
      <w:tblPr>
        <w:tblStyle w:val="GridTable1Light"/>
        <w:tblW w:w="0" w:type="auto"/>
        <w:tblLook w:val="04E0" w:firstRow="1" w:lastRow="1" w:firstColumn="1" w:lastColumn="0" w:noHBand="0" w:noVBand="1"/>
      </w:tblPr>
      <w:tblGrid>
        <w:gridCol w:w="2566"/>
        <w:gridCol w:w="1331"/>
        <w:gridCol w:w="1330"/>
        <w:gridCol w:w="1331"/>
        <w:gridCol w:w="1330"/>
        <w:gridCol w:w="1128"/>
      </w:tblGrid>
      <w:tr w:rsidR="00B9071F" w:rsidRPr="00E53977" w14:paraId="7D0A5FE0" w14:textId="77777777" w:rsidTr="002771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0070C0"/>
            <w:vAlign w:val="center"/>
          </w:tcPr>
          <w:p w14:paraId="280E4766" w14:textId="77777777" w:rsidR="00B9071F" w:rsidRPr="00E53977" w:rsidRDefault="00B9071F" w:rsidP="002771FB">
            <w:pPr>
              <w:widowControl w:val="0"/>
              <w:jc w:val="left"/>
              <w:rPr>
                <w:bCs w:val="0"/>
                <w:color w:val="FFFFFF" w:themeColor="background1"/>
                <w:sz w:val="20"/>
                <w:szCs w:val="20"/>
              </w:rPr>
            </w:pPr>
            <w:r w:rsidRPr="00E53977">
              <w:rPr>
                <w:color w:val="FFFFFF" w:themeColor="background1"/>
                <w:sz w:val="20"/>
                <w:szCs w:val="20"/>
              </w:rPr>
              <w:t>Region</w:t>
            </w:r>
          </w:p>
        </w:tc>
        <w:tc>
          <w:tcPr>
            <w:tcW w:w="1418" w:type="dxa"/>
            <w:shd w:val="clear" w:color="auto" w:fill="0070C0"/>
          </w:tcPr>
          <w:p w14:paraId="46D5E1C1" w14:textId="77777777" w:rsidR="00B9071F" w:rsidRPr="00E53977" w:rsidRDefault="00B9071F" w:rsidP="002771FB">
            <w:pPr>
              <w:widowControl w:val="0"/>
              <w:ind w:right="-86" w:hanging="48"/>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Village</w:t>
            </w:r>
          </w:p>
        </w:tc>
        <w:tc>
          <w:tcPr>
            <w:tcW w:w="1417" w:type="dxa"/>
            <w:tcBorders>
              <w:bottom w:val="nil"/>
            </w:tcBorders>
            <w:shd w:val="clear" w:color="auto" w:fill="0070C0"/>
          </w:tcPr>
          <w:p w14:paraId="164290D1" w14:textId="77777777" w:rsidR="00B9071F" w:rsidRPr="00E53977" w:rsidRDefault="00B9071F" w:rsidP="002771FB">
            <w:pPr>
              <w:widowControl w:val="0"/>
              <w:ind w:right="-86" w:hanging="48"/>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E53977">
              <w:rPr>
                <w:color w:val="FFFFFF" w:themeColor="background1"/>
                <w:sz w:val="20"/>
                <w:szCs w:val="20"/>
              </w:rPr>
              <w:t>Holding</w:t>
            </w:r>
          </w:p>
        </w:tc>
        <w:tc>
          <w:tcPr>
            <w:tcW w:w="1418" w:type="dxa"/>
            <w:tcBorders>
              <w:bottom w:val="nil"/>
            </w:tcBorders>
            <w:shd w:val="clear" w:color="auto" w:fill="0070C0"/>
          </w:tcPr>
          <w:p w14:paraId="12BA6464" w14:textId="77777777" w:rsidR="00B9071F" w:rsidRPr="00E53977" w:rsidRDefault="00B9071F" w:rsidP="002771FB">
            <w:pPr>
              <w:widowControl w:val="0"/>
              <w:ind w:right="-86" w:hanging="48"/>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Cattle tested</w:t>
            </w:r>
          </w:p>
        </w:tc>
        <w:tc>
          <w:tcPr>
            <w:tcW w:w="2653" w:type="dxa"/>
            <w:gridSpan w:val="2"/>
            <w:tcBorders>
              <w:bottom w:val="nil"/>
            </w:tcBorders>
            <w:shd w:val="clear" w:color="auto" w:fill="0070C0"/>
          </w:tcPr>
          <w:p w14:paraId="13AA083A" w14:textId="77777777" w:rsidR="00B9071F" w:rsidRPr="00E53977" w:rsidRDefault="00B9071F" w:rsidP="002771FB">
            <w:pPr>
              <w:widowControl w:val="0"/>
              <w:ind w:right="-86" w:hanging="48"/>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Positive</w:t>
            </w:r>
          </w:p>
        </w:tc>
      </w:tr>
      <w:tr w:rsidR="00B9071F" w:rsidRPr="00E53977" w14:paraId="2133FD70" w14:textId="77777777" w:rsidTr="002771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vMerge/>
            <w:shd w:val="clear" w:color="auto" w:fill="0070C0"/>
          </w:tcPr>
          <w:p w14:paraId="120D072B" w14:textId="77777777" w:rsidR="00B9071F" w:rsidRPr="00E53977" w:rsidRDefault="00B9071F" w:rsidP="002771FB">
            <w:pPr>
              <w:widowControl w:val="0"/>
              <w:jc w:val="left"/>
              <w:rPr>
                <w:b w:val="0"/>
                <w:bCs w:val="0"/>
                <w:color w:val="FFFFFF" w:themeColor="background1"/>
                <w:sz w:val="20"/>
                <w:szCs w:val="20"/>
              </w:rPr>
            </w:pPr>
          </w:p>
        </w:tc>
        <w:tc>
          <w:tcPr>
            <w:tcW w:w="1418" w:type="dxa"/>
            <w:shd w:val="clear" w:color="auto" w:fill="0070C0"/>
          </w:tcPr>
          <w:p w14:paraId="18D8BA97" w14:textId="77777777" w:rsidR="00B9071F" w:rsidRPr="00E53977" w:rsidRDefault="00B9071F" w:rsidP="002771FB">
            <w:pPr>
              <w:widowControl w:val="0"/>
              <w:ind w:right="-86" w:hanging="48"/>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Number</w:t>
            </w:r>
          </w:p>
        </w:tc>
        <w:tc>
          <w:tcPr>
            <w:tcW w:w="1417" w:type="dxa"/>
            <w:tcBorders>
              <w:bottom w:val="nil"/>
            </w:tcBorders>
            <w:shd w:val="clear" w:color="auto" w:fill="0070C0"/>
          </w:tcPr>
          <w:p w14:paraId="4D7AEEA6" w14:textId="77777777" w:rsidR="00B9071F" w:rsidRPr="00E53977" w:rsidRDefault="00B9071F" w:rsidP="002771FB">
            <w:pPr>
              <w:widowControl w:val="0"/>
              <w:ind w:right="-86" w:hanging="48"/>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E53977">
              <w:rPr>
                <w:color w:val="FFFFFF" w:themeColor="background1"/>
                <w:sz w:val="20"/>
                <w:szCs w:val="20"/>
              </w:rPr>
              <w:t>Number</w:t>
            </w:r>
          </w:p>
        </w:tc>
        <w:tc>
          <w:tcPr>
            <w:tcW w:w="1418" w:type="dxa"/>
            <w:tcBorders>
              <w:bottom w:val="nil"/>
            </w:tcBorders>
            <w:shd w:val="clear" w:color="auto" w:fill="0070C0"/>
          </w:tcPr>
          <w:p w14:paraId="00222E33" w14:textId="77777777" w:rsidR="00B9071F" w:rsidRPr="00E53977" w:rsidRDefault="00B9071F" w:rsidP="002771FB">
            <w:pPr>
              <w:widowControl w:val="0"/>
              <w:ind w:right="-86" w:hanging="48"/>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Number</w:t>
            </w:r>
          </w:p>
        </w:tc>
        <w:tc>
          <w:tcPr>
            <w:tcW w:w="1417" w:type="dxa"/>
            <w:tcBorders>
              <w:bottom w:val="nil"/>
            </w:tcBorders>
            <w:shd w:val="clear" w:color="auto" w:fill="0070C0"/>
          </w:tcPr>
          <w:p w14:paraId="3A53107A" w14:textId="77777777" w:rsidR="00B9071F" w:rsidRPr="00E53977" w:rsidRDefault="00B9071F" w:rsidP="002771FB">
            <w:pPr>
              <w:widowControl w:val="0"/>
              <w:ind w:right="-86" w:hanging="48"/>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20"/>
                <w:szCs w:val="20"/>
              </w:rPr>
            </w:pPr>
            <w:r w:rsidRPr="00E53977">
              <w:rPr>
                <w:color w:val="FFFFFF" w:themeColor="background1"/>
                <w:sz w:val="20"/>
                <w:szCs w:val="20"/>
              </w:rPr>
              <w:t>Number</w:t>
            </w:r>
          </w:p>
        </w:tc>
        <w:tc>
          <w:tcPr>
            <w:tcW w:w="1236" w:type="dxa"/>
            <w:tcBorders>
              <w:bottom w:val="nil"/>
            </w:tcBorders>
            <w:shd w:val="clear" w:color="auto" w:fill="0070C0"/>
          </w:tcPr>
          <w:p w14:paraId="1FABE9C5" w14:textId="77777777" w:rsidR="00B9071F" w:rsidRPr="00E53977" w:rsidRDefault="00B9071F" w:rsidP="002771FB">
            <w:pPr>
              <w:widowControl w:val="0"/>
              <w:ind w:right="-86" w:hanging="48"/>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E53977">
              <w:rPr>
                <w:color w:val="FFFFFF" w:themeColor="background1"/>
                <w:sz w:val="20"/>
                <w:szCs w:val="20"/>
              </w:rPr>
              <w:t>%</w:t>
            </w:r>
          </w:p>
        </w:tc>
      </w:tr>
      <w:tr w:rsidR="00B9071F" w:rsidRPr="00E53977" w14:paraId="146BA3DF" w14:textId="77777777" w:rsidTr="002771F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28E877B" w14:textId="77777777" w:rsidR="00B9071F" w:rsidRPr="00E53977" w:rsidRDefault="00B9071F" w:rsidP="002771FB">
            <w:pPr>
              <w:widowControl w:val="0"/>
              <w:rPr>
                <w:color w:val="000000"/>
                <w:sz w:val="20"/>
                <w:szCs w:val="20"/>
              </w:rPr>
            </w:pPr>
            <w:r w:rsidRPr="00E53977">
              <w:rPr>
                <w:sz w:val="20"/>
                <w:szCs w:val="20"/>
              </w:rPr>
              <w:t>Samtskhe-Javakheti</w:t>
            </w:r>
          </w:p>
        </w:tc>
        <w:tc>
          <w:tcPr>
            <w:tcW w:w="1418" w:type="dxa"/>
            <w:shd w:val="clear" w:color="auto" w:fill="auto"/>
          </w:tcPr>
          <w:p w14:paraId="10F052B4"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53977">
              <w:rPr>
                <w:sz w:val="20"/>
                <w:szCs w:val="20"/>
              </w:rPr>
              <w:t>15</w:t>
            </w:r>
          </w:p>
        </w:tc>
        <w:tc>
          <w:tcPr>
            <w:tcW w:w="1417" w:type="dxa"/>
            <w:tcBorders>
              <w:top w:val="single" w:sz="12" w:space="0" w:color="999999" w:themeColor="text1" w:themeTint="66"/>
            </w:tcBorders>
          </w:tcPr>
          <w:p w14:paraId="6EA16EC6"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221</w:t>
            </w:r>
          </w:p>
        </w:tc>
        <w:tc>
          <w:tcPr>
            <w:tcW w:w="1418" w:type="dxa"/>
            <w:tcBorders>
              <w:top w:val="single" w:sz="12" w:space="0" w:color="999999" w:themeColor="text1" w:themeTint="66"/>
            </w:tcBorders>
          </w:tcPr>
          <w:p w14:paraId="4223824A"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1,955</w:t>
            </w:r>
          </w:p>
        </w:tc>
        <w:tc>
          <w:tcPr>
            <w:tcW w:w="1417" w:type="dxa"/>
            <w:tcBorders>
              <w:top w:val="single" w:sz="12" w:space="0" w:color="999999" w:themeColor="text1" w:themeTint="66"/>
            </w:tcBorders>
          </w:tcPr>
          <w:p w14:paraId="674A1B22"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75</w:t>
            </w:r>
          </w:p>
        </w:tc>
        <w:tc>
          <w:tcPr>
            <w:tcW w:w="1236" w:type="dxa"/>
            <w:tcBorders>
              <w:top w:val="single" w:sz="12" w:space="0" w:color="999999" w:themeColor="text1" w:themeTint="66"/>
            </w:tcBorders>
          </w:tcPr>
          <w:p w14:paraId="20FFE7C8"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3.8 %</w:t>
            </w:r>
          </w:p>
        </w:tc>
      </w:tr>
      <w:tr w:rsidR="00B9071F" w:rsidRPr="00E53977" w14:paraId="11B8255A" w14:textId="77777777" w:rsidTr="002771F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07A6F0B" w14:textId="77777777" w:rsidR="00B9071F" w:rsidRPr="00E53977" w:rsidRDefault="00B9071F" w:rsidP="002771FB">
            <w:pPr>
              <w:widowControl w:val="0"/>
              <w:rPr>
                <w:color w:val="000000"/>
                <w:sz w:val="20"/>
                <w:szCs w:val="20"/>
              </w:rPr>
            </w:pPr>
            <w:r w:rsidRPr="00E53977">
              <w:rPr>
                <w:sz w:val="20"/>
                <w:szCs w:val="20"/>
              </w:rPr>
              <w:t>Shida Kartli</w:t>
            </w:r>
          </w:p>
        </w:tc>
        <w:tc>
          <w:tcPr>
            <w:tcW w:w="1418" w:type="dxa"/>
            <w:shd w:val="clear" w:color="auto" w:fill="auto"/>
          </w:tcPr>
          <w:p w14:paraId="7402A1FB"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53977">
              <w:rPr>
                <w:sz w:val="20"/>
                <w:szCs w:val="20"/>
              </w:rPr>
              <w:t>12</w:t>
            </w:r>
          </w:p>
        </w:tc>
        <w:tc>
          <w:tcPr>
            <w:tcW w:w="1417" w:type="dxa"/>
          </w:tcPr>
          <w:p w14:paraId="240D01BD"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49</w:t>
            </w:r>
          </w:p>
        </w:tc>
        <w:tc>
          <w:tcPr>
            <w:tcW w:w="1418" w:type="dxa"/>
          </w:tcPr>
          <w:p w14:paraId="22086FBA"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259</w:t>
            </w:r>
          </w:p>
        </w:tc>
        <w:tc>
          <w:tcPr>
            <w:tcW w:w="1417" w:type="dxa"/>
          </w:tcPr>
          <w:p w14:paraId="38B2F1A9"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5</w:t>
            </w:r>
          </w:p>
        </w:tc>
        <w:tc>
          <w:tcPr>
            <w:tcW w:w="1236" w:type="dxa"/>
          </w:tcPr>
          <w:p w14:paraId="43EDB7FC"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1.9 %</w:t>
            </w:r>
          </w:p>
        </w:tc>
      </w:tr>
      <w:tr w:rsidR="00B9071F" w:rsidRPr="00E53977" w14:paraId="63A89639" w14:textId="77777777" w:rsidTr="002771F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07DA943" w14:textId="77777777" w:rsidR="00B9071F" w:rsidRPr="00E53977" w:rsidRDefault="00B9071F" w:rsidP="002771FB">
            <w:pPr>
              <w:widowControl w:val="0"/>
              <w:rPr>
                <w:color w:val="000000"/>
                <w:sz w:val="20"/>
                <w:szCs w:val="20"/>
              </w:rPr>
            </w:pPr>
            <w:r w:rsidRPr="00E53977">
              <w:rPr>
                <w:sz w:val="20"/>
                <w:szCs w:val="20"/>
              </w:rPr>
              <w:t>Kakheti</w:t>
            </w:r>
          </w:p>
        </w:tc>
        <w:tc>
          <w:tcPr>
            <w:tcW w:w="1418" w:type="dxa"/>
            <w:shd w:val="clear" w:color="auto" w:fill="auto"/>
          </w:tcPr>
          <w:p w14:paraId="4FD358B0"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53977">
              <w:rPr>
                <w:sz w:val="20"/>
                <w:szCs w:val="20"/>
              </w:rPr>
              <w:t>8</w:t>
            </w:r>
          </w:p>
        </w:tc>
        <w:tc>
          <w:tcPr>
            <w:tcW w:w="1417" w:type="dxa"/>
          </w:tcPr>
          <w:p w14:paraId="79FE409C"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17</w:t>
            </w:r>
          </w:p>
        </w:tc>
        <w:tc>
          <w:tcPr>
            <w:tcW w:w="1418" w:type="dxa"/>
          </w:tcPr>
          <w:p w14:paraId="2A01975C"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387</w:t>
            </w:r>
          </w:p>
        </w:tc>
        <w:tc>
          <w:tcPr>
            <w:tcW w:w="1417" w:type="dxa"/>
          </w:tcPr>
          <w:p w14:paraId="1A187379"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0</w:t>
            </w:r>
          </w:p>
        </w:tc>
        <w:tc>
          <w:tcPr>
            <w:tcW w:w="1236" w:type="dxa"/>
          </w:tcPr>
          <w:p w14:paraId="3712B4A3"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0.0 %</w:t>
            </w:r>
          </w:p>
        </w:tc>
      </w:tr>
      <w:tr w:rsidR="00B9071F" w:rsidRPr="00E53977" w14:paraId="5589BEEE" w14:textId="77777777" w:rsidTr="002771F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597EDB6" w14:textId="77777777" w:rsidR="00B9071F" w:rsidRPr="00E53977" w:rsidRDefault="00B9071F" w:rsidP="002771FB">
            <w:pPr>
              <w:widowControl w:val="0"/>
              <w:rPr>
                <w:color w:val="000000"/>
                <w:sz w:val="20"/>
                <w:szCs w:val="20"/>
              </w:rPr>
            </w:pPr>
            <w:r w:rsidRPr="00E53977">
              <w:rPr>
                <w:sz w:val="20"/>
                <w:szCs w:val="20"/>
              </w:rPr>
              <w:t>Kvemo Kartli</w:t>
            </w:r>
          </w:p>
        </w:tc>
        <w:tc>
          <w:tcPr>
            <w:tcW w:w="1418" w:type="dxa"/>
            <w:shd w:val="clear" w:color="auto" w:fill="auto"/>
          </w:tcPr>
          <w:p w14:paraId="40873343"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53977">
              <w:rPr>
                <w:sz w:val="20"/>
                <w:szCs w:val="20"/>
              </w:rPr>
              <w:t>19</w:t>
            </w:r>
          </w:p>
        </w:tc>
        <w:tc>
          <w:tcPr>
            <w:tcW w:w="1417" w:type="dxa"/>
          </w:tcPr>
          <w:p w14:paraId="1DC66A82"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38</w:t>
            </w:r>
          </w:p>
        </w:tc>
        <w:tc>
          <w:tcPr>
            <w:tcW w:w="1418" w:type="dxa"/>
          </w:tcPr>
          <w:p w14:paraId="5FF0B68C"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782</w:t>
            </w:r>
          </w:p>
        </w:tc>
        <w:tc>
          <w:tcPr>
            <w:tcW w:w="1417" w:type="dxa"/>
          </w:tcPr>
          <w:p w14:paraId="3097F0FA"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89</w:t>
            </w:r>
          </w:p>
        </w:tc>
        <w:tc>
          <w:tcPr>
            <w:tcW w:w="1236" w:type="dxa"/>
          </w:tcPr>
          <w:p w14:paraId="500471AC"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11.4 %</w:t>
            </w:r>
          </w:p>
        </w:tc>
      </w:tr>
      <w:tr w:rsidR="00B9071F" w:rsidRPr="00E53977" w14:paraId="369BBF25" w14:textId="77777777" w:rsidTr="002771F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206E9C6F" w14:textId="77777777" w:rsidR="00B9071F" w:rsidRPr="00E53977" w:rsidRDefault="00B9071F" w:rsidP="002771FB">
            <w:pPr>
              <w:widowControl w:val="0"/>
              <w:rPr>
                <w:color w:val="000000"/>
                <w:sz w:val="20"/>
                <w:szCs w:val="20"/>
              </w:rPr>
            </w:pPr>
            <w:r w:rsidRPr="00E53977">
              <w:rPr>
                <w:sz w:val="20"/>
                <w:szCs w:val="20"/>
              </w:rPr>
              <w:t>Mtskheta-Mtianeti</w:t>
            </w:r>
          </w:p>
        </w:tc>
        <w:tc>
          <w:tcPr>
            <w:tcW w:w="1418" w:type="dxa"/>
            <w:shd w:val="clear" w:color="auto" w:fill="auto"/>
          </w:tcPr>
          <w:p w14:paraId="4E741E59"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53977">
              <w:rPr>
                <w:sz w:val="20"/>
                <w:szCs w:val="20"/>
              </w:rPr>
              <w:t>28</w:t>
            </w:r>
          </w:p>
        </w:tc>
        <w:tc>
          <w:tcPr>
            <w:tcW w:w="1417" w:type="dxa"/>
          </w:tcPr>
          <w:p w14:paraId="57BD15DF"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76</w:t>
            </w:r>
          </w:p>
        </w:tc>
        <w:tc>
          <w:tcPr>
            <w:tcW w:w="1418" w:type="dxa"/>
          </w:tcPr>
          <w:p w14:paraId="0BFCE82D"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435</w:t>
            </w:r>
          </w:p>
        </w:tc>
        <w:tc>
          <w:tcPr>
            <w:tcW w:w="1417" w:type="dxa"/>
          </w:tcPr>
          <w:p w14:paraId="0063C9DD"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18</w:t>
            </w:r>
          </w:p>
        </w:tc>
        <w:tc>
          <w:tcPr>
            <w:tcW w:w="1236" w:type="dxa"/>
          </w:tcPr>
          <w:p w14:paraId="0F43C9A7"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4.1 %</w:t>
            </w:r>
          </w:p>
        </w:tc>
      </w:tr>
      <w:tr w:rsidR="00B9071F" w:rsidRPr="00E53977" w14:paraId="6717C4EF" w14:textId="77777777" w:rsidTr="002771F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000CE7C" w14:textId="77777777" w:rsidR="00B9071F" w:rsidRPr="00E53977" w:rsidRDefault="00B9071F" w:rsidP="002771FB">
            <w:pPr>
              <w:widowControl w:val="0"/>
              <w:rPr>
                <w:color w:val="000000"/>
                <w:sz w:val="20"/>
                <w:szCs w:val="20"/>
              </w:rPr>
            </w:pPr>
            <w:r w:rsidRPr="00E53977">
              <w:rPr>
                <w:sz w:val="20"/>
                <w:szCs w:val="20"/>
              </w:rPr>
              <w:t>Imereti</w:t>
            </w:r>
          </w:p>
        </w:tc>
        <w:tc>
          <w:tcPr>
            <w:tcW w:w="1418" w:type="dxa"/>
            <w:shd w:val="clear" w:color="auto" w:fill="auto"/>
          </w:tcPr>
          <w:p w14:paraId="09FE2126"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53977">
              <w:rPr>
                <w:sz w:val="20"/>
                <w:szCs w:val="20"/>
              </w:rPr>
              <w:t>534</w:t>
            </w:r>
          </w:p>
        </w:tc>
        <w:tc>
          <w:tcPr>
            <w:tcW w:w="1417" w:type="dxa"/>
          </w:tcPr>
          <w:p w14:paraId="754A67D2"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21,769</w:t>
            </w:r>
          </w:p>
        </w:tc>
        <w:tc>
          <w:tcPr>
            <w:tcW w:w="1418" w:type="dxa"/>
          </w:tcPr>
          <w:p w14:paraId="427DEC42"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67,070</w:t>
            </w:r>
          </w:p>
        </w:tc>
        <w:tc>
          <w:tcPr>
            <w:tcW w:w="1417" w:type="dxa"/>
          </w:tcPr>
          <w:p w14:paraId="73DD7B50"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915</w:t>
            </w:r>
          </w:p>
        </w:tc>
        <w:tc>
          <w:tcPr>
            <w:tcW w:w="1236" w:type="dxa"/>
          </w:tcPr>
          <w:p w14:paraId="12D09604"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1.4 %</w:t>
            </w:r>
          </w:p>
        </w:tc>
      </w:tr>
      <w:tr w:rsidR="00B9071F" w:rsidRPr="00E53977" w14:paraId="46A2FAD3" w14:textId="77777777" w:rsidTr="002771F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5EAE87B" w14:textId="77777777" w:rsidR="00B9071F" w:rsidRPr="00E53977" w:rsidRDefault="00B9071F" w:rsidP="002771FB">
            <w:pPr>
              <w:widowControl w:val="0"/>
              <w:rPr>
                <w:color w:val="000000"/>
                <w:sz w:val="20"/>
                <w:szCs w:val="20"/>
              </w:rPr>
            </w:pPr>
            <w:r w:rsidRPr="00E53977">
              <w:rPr>
                <w:sz w:val="20"/>
                <w:szCs w:val="20"/>
              </w:rPr>
              <w:lastRenderedPageBreak/>
              <w:t>Racha Lechkhumi / Kvemo-Svaneti</w:t>
            </w:r>
          </w:p>
        </w:tc>
        <w:tc>
          <w:tcPr>
            <w:tcW w:w="1418" w:type="dxa"/>
            <w:shd w:val="clear" w:color="auto" w:fill="auto"/>
            <w:vAlign w:val="center"/>
          </w:tcPr>
          <w:p w14:paraId="6FE5807C"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53977">
              <w:rPr>
                <w:sz w:val="20"/>
                <w:szCs w:val="20"/>
              </w:rPr>
              <w:t>176</w:t>
            </w:r>
          </w:p>
        </w:tc>
        <w:tc>
          <w:tcPr>
            <w:tcW w:w="1417" w:type="dxa"/>
            <w:vAlign w:val="center"/>
          </w:tcPr>
          <w:p w14:paraId="527F1207"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2,482</w:t>
            </w:r>
          </w:p>
        </w:tc>
        <w:tc>
          <w:tcPr>
            <w:tcW w:w="1418" w:type="dxa"/>
            <w:vAlign w:val="center"/>
          </w:tcPr>
          <w:p w14:paraId="6FE36F7B"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6,306</w:t>
            </w:r>
          </w:p>
        </w:tc>
        <w:tc>
          <w:tcPr>
            <w:tcW w:w="1417" w:type="dxa"/>
            <w:vAlign w:val="center"/>
          </w:tcPr>
          <w:p w14:paraId="0338B2D4"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16</w:t>
            </w:r>
          </w:p>
        </w:tc>
        <w:tc>
          <w:tcPr>
            <w:tcW w:w="1236" w:type="dxa"/>
            <w:vAlign w:val="center"/>
          </w:tcPr>
          <w:p w14:paraId="31312D48"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0.3 %</w:t>
            </w:r>
          </w:p>
        </w:tc>
      </w:tr>
      <w:tr w:rsidR="00B9071F" w:rsidRPr="00E53977" w14:paraId="679E4F57" w14:textId="77777777" w:rsidTr="002771F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57D4F0F" w14:textId="77777777" w:rsidR="00B9071F" w:rsidRPr="00E53977" w:rsidRDefault="00B9071F" w:rsidP="002771FB">
            <w:pPr>
              <w:widowControl w:val="0"/>
              <w:rPr>
                <w:color w:val="000000"/>
                <w:sz w:val="20"/>
                <w:szCs w:val="20"/>
              </w:rPr>
            </w:pPr>
            <w:r w:rsidRPr="00E53977">
              <w:rPr>
                <w:sz w:val="20"/>
                <w:szCs w:val="20"/>
              </w:rPr>
              <w:t>Samegrelo / Zemo-Svaneti</w:t>
            </w:r>
          </w:p>
        </w:tc>
        <w:tc>
          <w:tcPr>
            <w:tcW w:w="1418" w:type="dxa"/>
            <w:shd w:val="clear" w:color="auto" w:fill="auto"/>
          </w:tcPr>
          <w:p w14:paraId="634EED8E"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53977">
              <w:rPr>
                <w:sz w:val="20"/>
                <w:szCs w:val="20"/>
              </w:rPr>
              <w:t>281</w:t>
            </w:r>
          </w:p>
        </w:tc>
        <w:tc>
          <w:tcPr>
            <w:tcW w:w="1417" w:type="dxa"/>
          </w:tcPr>
          <w:p w14:paraId="65FC4B35"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13,666</w:t>
            </w:r>
          </w:p>
        </w:tc>
        <w:tc>
          <w:tcPr>
            <w:tcW w:w="1418" w:type="dxa"/>
          </w:tcPr>
          <w:p w14:paraId="1ADE1C4E"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52,586</w:t>
            </w:r>
          </w:p>
        </w:tc>
        <w:tc>
          <w:tcPr>
            <w:tcW w:w="1417" w:type="dxa"/>
          </w:tcPr>
          <w:p w14:paraId="55F08CF7"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553</w:t>
            </w:r>
          </w:p>
        </w:tc>
        <w:tc>
          <w:tcPr>
            <w:tcW w:w="1236" w:type="dxa"/>
          </w:tcPr>
          <w:p w14:paraId="085CB527"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1.1 %</w:t>
            </w:r>
          </w:p>
        </w:tc>
      </w:tr>
      <w:tr w:rsidR="00B9071F" w:rsidRPr="00E53977" w14:paraId="0147B32D" w14:textId="77777777" w:rsidTr="002771F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F56A2F5" w14:textId="77777777" w:rsidR="00B9071F" w:rsidRPr="00E53977" w:rsidRDefault="00B9071F" w:rsidP="002771FB">
            <w:pPr>
              <w:widowControl w:val="0"/>
              <w:rPr>
                <w:color w:val="000000"/>
                <w:sz w:val="20"/>
                <w:szCs w:val="20"/>
              </w:rPr>
            </w:pPr>
            <w:r w:rsidRPr="00E53977">
              <w:rPr>
                <w:sz w:val="20"/>
                <w:szCs w:val="20"/>
              </w:rPr>
              <w:t>Guria</w:t>
            </w:r>
          </w:p>
        </w:tc>
        <w:tc>
          <w:tcPr>
            <w:tcW w:w="1418" w:type="dxa"/>
            <w:shd w:val="clear" w:color="auto" w:fill="auto"/>
          </w:tcPr>
          <w:p w14:paraId="79B66F7C"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53977">
              <w:rPr>
                <w:sz w:val="20"/>
                <w:szCs w:val="20"/>
              </w:rPr>
              <w:t>145</w:t>
            </w:r>
          </w:p>
        </w:tc>
        <w:tc>
          <w:tcPr>
            <w:tcW w:w="1417" w:type="dxa"/>
          </w:tcPr>
          <w:p w14:paraId="66DFEA1F"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8,721</w:t>
            </w:r>
          </w:p>
        </w:tc>
        <w:tc>
          <w:tcPr>
            <w:tcW w:w="1418" w:type="dxa"/>
          </w:tcPr>
          <w:p w14:paraId="37258DB1"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23,064</w:t>
            </w:r>
          </w:p>
        </w:tc>
        <w:tc>
          <w:tcPr>
            <w:tcW w:w="1417" w:type="dxa"/>
          </w:tcPr>
          <w:p w14:paraId="36B97E64"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651</w:t>
            </w:r>
          </w:p>
        </w:tc>
        <w:tc>
          <w:tcPr>
            <w:tcW w:w="1236" w:type="dxa"/>
          </w:tcPr>
          <w:p w14:paraId="053299EC"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2.8 %</w:t>
            </w:r>
          </w:p>
        </w:tc>
      </w:tr>
      <w:tr w:rsidR="00B9071F" w:rsidRPr="00E53977" w14:paraId="01D40CFE" w14:textId="77777777" w:rsidTr="002771F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6B180EB" w14:textId="77777777" w:rsidR="00B9071F" w:rsidRPr="00E53977" w:rsidRDefault="00B9071F" w:rsidP="002771FB">
            <w:pPr>
              <w:widowControl w:val="0"/>
              <w:rPr>
                <w:color w:val="000000"/>
                <w:sz w:val="20"/>
                <w:szCs w:val="20"/>
              </w:rPr>
            </w:pPr>
            <w:r w:rsidRPr="00E53977">
              <w:rPr>
                <w:sz w:val="20"/>
                <w:szCs w:val="20"/>
              </w:rPr>
              <w:t>Adjara</w:t>
            </w:r>
          </w:p>
        </w:tc>
        <w:tc>
          <w:tcPr>
            <w:tcW w:w="1418" w:type="dxa"/>
            <w:shd w:val="clear" w:color="auto" w:fill="auto"/>
          </w:tcPr>
          <w:p w14:paraId="52AB7A5B"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53977">
              <w:rPr>
                <w:sz w:val="20"/>
                <w:szCs w:val="20"/>
              </w:rPr>
              <w:t>3</w:t>
            </w:r>
          </w:p>
        </w:tc>
        <w:tc>
          <w:tcPr>
            <w:tcW w:w="1417" w:type="dxa"/>
          </w:tcPr>
          <w:p w14:paraId="1781E933"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45</w:t>
            </w:r>
          </w:p>
        </w:tc>
        <w:tc>
          <w:tcPr>
            <w:tcW w:w="1418" w:type="dxa"/>
          </w:tcPr>
          <w:p w14:paraId="6DDC11D5"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187</w:t>
            </w:r>
          </w:p>
        </w:tc>
        <w:tc>
          <w:tcPr>
            <w:tcW w:w="1417" w:type="dxa"/>
          </w:tcPr>
          <w:p w14:paraId="2EA4FD15"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19</w:t>
            </w:r>
          </w:p>
        </w:tc>
        <w:tc>
          <w:tcPr>
            <w:tcW w:w="1236" w:type="dxa"/>
          </w:tcPr>
          <w:p w14:paraId="0A8DED44"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10.2 %</w:t>
            </w:r>
          </w:p>
        </w:tc>
      </w:tr>
      <w:tr w:rsidR="00B9071F" w:rsidRPr="00E53977" w14:paraId="37E15162" w14:textId="77777777" w:rsidTr="002771F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F032418" w14:textId="77777777" w:rsidR="00B9071F" w:rsidRPr="00E53977" w:rsidRDefault="00B9071F" w:rsidP="002771FB">
            <w:pPr>
              <w:widowControl w:val="0"/>
              <w:rPr>
                <w:color w:val="000000"/>
                <w:sz w:val="20"/>
                <w:szCs w:val="20"/>
              </w:rPr>
            </w:pPr>
            <w:r w:rsidRPr="00E53977">
              <w:rPr>
                <w:sz w:val="20"/>
                <w:szCs w:val="20"/>
              </w:rPr>
              <w:t>Tbilisi</w:t>
            </w:r>
          </w:p>
        </w:tc>
        <w:tc>
          <w:tcPr>
            <w:tcW w:w="1418" w:type="dxa"/>
            <w:shd w:val="clear" w:color="auto" w:fill="auto"/>
          </w:tcPr>
          <w:p w14:paraId="768C92EC"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53977">
              <w:rPr>
                <w:sz w:val="20"/>
                <w:szCs w:val="20"/>
              </w:rPr>
              <w:t>1</w:t>
            </w:r>
          </w:p>
        </w:tc>
        <w:tc>
          <w:tcPr>
            <w:tcW w:w="1417" w:type="dxa"/>
          </w:tcPr>
          <w:p w14:paraId="09ED4F4A"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2</w:t>
            </w:r>
          </w:p>
        </w:tc>
        <w:tc>
          <w:tcPr>
            <w:tcW w:w="1418" w:type="dxa"/>
          </w:tcPr>
          <w:p w14:paraId="70077E8E"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32</w:t>
            </w:r>
          </w:p>
        </w:tc>
        <w:tc>
          <w:tcPr>
            <w:tcW w:w="1417" w:type="dxa"/>
          </w:tcPr>
          <w:p w14:paraId="6A8F0206"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0</w:t>
            </w:r>
          </w:p>
        </w:tc>
        <w:tc>
          <w:tcPr>
            <w:tcW w:w="1236" w:type="dxa"/>
          </w:tcPr>
          <w:p w14:paraId="0B4D8483" w14:textId="77777777" w:rsidR="00B9071F" w:rsidRPr="00E53977" w:rsidRDefault="00B9071F" w:rsidP="002771FB">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53977">
              <w:rPr>
                <w:sz w:val="20"/>
                <w:szCs w:val="20"/>
              </w:rPr>
              <w:t>0.0 %</w:t>
            </w:r>
          </w:p>
        </w:tc>
      </w:tr>
      <w:tr w:rsidR="00B9071F" w:rsidRPr="00E53977" w14:paraId="42436544" w14:textId="77777777" w:rsidTr="002771FB">
        <w:trPr>
          <w:cnfStyle w:val="010000000000" w:firstRow="0" w:lastRow="1" w:firstColumn="0" w:lastColumn="0" w:oddVBand="0" w:evenVBand="0" w:oddHBand="0"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2830" w:type="dxa"/>
            <w:shd w:val="clear" w:color="auto" w:fill="FFF2CC" w:themeFill="accent4" w:themeFillTint="33"/>
          </w:tcPr>
          <w:p w14:paraId="59FBF47E" w14:textId="77777777" w:rsidR="00B9071F" w:rsidRPr="00E53977" w:rsidRDefault="00B9071F" w:rsidP="002771FB">
            <w:pPr>
              <w:widowControl w:val="0"/>
              <w:jc w:val="left"/>
              <w:rPr>
                <w:b w:val="0"/>
                <w:bCs w:val="0"/>
                <w:sz w:val="20"/>
                <w:szCs w:val="20"/>
                <w:highlight w:val="yellow"/>
              </w:rPr>
            </w:pPr>
            <w:r w:rsidRPr="00E53977">
              <w:rPr>
                <w:sz w:val="20"/>
                <w:szCs w:val="20"/>
              </w:rPr>
              <w:t> Total</w:t>
            </w:r>
          </w:p>
        </w:tc>
        <w:tc>
          <w:tcPr>
            <w:tcW w:w="1418" w:type="dxa"/>
            <w:shd w:val="clear" w:color="auto" w:fill="FFF2CC" w:themeFill="accent4" w:themeFillTint="33"/>
          </w:tcPr>
          <w:p w14:paraId="31DF6216" w14:textId="77777777" w:rsidR="00B9071F" w:rsidRPr="00E53977" w:rsidRDefault="00B9071F" w:rsidP="002771FB">
            <w:pPr>
              <w:widowControl w:val="0"/>
              <w:jc w:val="right"/>
              <w:cnfStyle w:val="010000000000" w:firstRow="0" w:lastRow="1" w:firstColumn="0" w:lastColumn="0" w:oddVBand="0" w:evenVBand="0" w:oddHBand="0" w:evenHBand="0" w:firstRowFirstColumn="0" w:firstRowLastColumn="0" w:lastRowFirstColumn="0" w:lastRowLastColumn="0"/>
              <w:rPr>
                <w:sz w:val="20"/>
                <w:szCs w:val="20"/>
                <w:highlight w:val="yellow"/>
              </w:rPr>
            </w:pPr>
            <w:r w:rsidRPr="00E53977">
              <w:rPr>
                <w:sz w:val="20"/>
                <w:szCs w:val="20"/>
              </w:rPr>
              <w:t>1,222</w:t>
            </w:r>
          </w:p>
        </w:tc>
        <w:tc>
          <w:tcPr>
            <w:tcW w:w="1417" w:type="dxa"/>
            <w:shd w:val="clear" w:color="auto" w:fill="FFF2CC" w:themeFill="accent4" w:themeFillTint="33"/>
          </w:tcPr>
          <w:p w14:paraId="61C2B770" w14:textId="77777777" w:rsidR="00B9071F" w:rsidRPr="00E53977" w:rsidRDefault="00B9071F" w:rsidP="002771FB">
            <w:pPr>
              <w:widowControl w:val="0"/>
              <w:jc w:val="right"/>
              <w:cnfStyle w:val="010000000000" w:firstRow="0" w:lastRow="1" w:firstColumn="0" w:lastColumn="0" w:oddVBand="0" w:evenVBand="0" w:oddHBand="0" w:evenHBand="0" w:firstRowFirstColumn="0" w:firstRowLastColumn="0" w:lastRowFirstColumn="0" w:lastRowLastColumn="0"/>
              <w:rPr>
                <w:sz w:val="20"/>
                <w:szCs w:val="20"/>
                <w:highlight w:val="yellow"/>
              </w:rPr>
            </w:pPr>
            <w:r w:rsidRPr="00E53977">
              <w:rPr>
                <w:sz w:val="20"/>
                <w:szCs w:val="20"/>
              </w:rPr>
              <w:t>47,086</w:t>
            </w:r>
          </w:p>
        </w:tc>
        <w:tc>
          <w:tcPr>
            <w:tcW w:w="1418" w:type="dxa"/>
            <w:shd w:val="clear" w:color="auto" w:fill="FFF2CC" w:themeFill="accent4" w:themeFillTint="33"/>
          </w:tcPr>
          <w:p w14:paraId="06042E8A" w14:textId="77777777" w:rsidR="00B9071F" w:rsidRPr="00E53977" w:rsidRDefault="00B9071F" w:rsidP="002771FB">
            <w:pPr>
              <w:widowControl w:val="0"/>
              <w:jc w:val="right"/>
              <w:cnfStyle w:val="010000000000" w:firstRow="0" w:lastRow="1" w:firstColumn="0" w:lastColumn="0" w:oddVBand="0" w:evenVBand="0" w:oddHBand="0" w:evenHBand="0" w:firstRowFirstColumn="0" w:firstRowLastColumn="0" w:lastRowFirstColumn="0" w:lastRowLastColumn="0"/>
              <w:rPr>
                <w:sz w:val="20"/>
                <w:szCs w:val="20"/>
                <w:highlight w:val="yellow"/>
              </w:rPr>
            </w:pPr>
            <w:r w:rsidRPr="00E53977">
              <w:rPr>
                <w:sz w:val="20"/>
                <w:szCs w:val="20"/>
              </w:rPr>
              <w:t>153,063</w:t>
            </w:r>
          </w:p>
        </w:tc>
        <w:tc>
          <w:tcPr>
            <w:tcW w:w="1417" w:type="dxa"/>
            <w:shd w:val="clear" w:color="auto" w:fill="FFF2CC" w:themeFill="accent4" w:themeFillTint="33"/>
          </w:tcPr>
          <w:p w14:paraId="697A185B" w14:textId="77777777" w:rsidR="00B9071F" w:rsidRPr="00E53977" w:rsidRDefault="00B9071F" w:rsidP="002771FB">
            <w:pPr>
              <w:widowControl w:val="0"/>
              <w:jc w:val="right"/>
              <w:cnfStyle w:val="010000000000" w:firstRow="0" w:lastRow="1" w:firstColumn="0" w:lastColumn="0" w:oddVBand="0" w:evenVBand="0" w:oddHBand="0" w:evenHBand="0" w:firstRowFirstColumn="0" w:firstRowLastColumn="0" w:lastRowFirstColumn="0" w:lastRowLastColumn="0"/>
              <w:rPr>
                <w:sz w:val="20"/>
                <w:szCs w:val="20"/>
                <w:highlight w:val="yellow"/>
              </w:rPr>
            </w:pPr>
            <w:r w:rsidRPr="00E53977">
              <w:rPr>
                <w:sz w:val="20"/>
                <w:szCs w:val="20"/>
              </w:rPr>
              <w:t>2,341</w:t>
            </w:r>
          </w:p>
        </w:tc>
        <w:tc>
          <w:tcPr>
            <w:tcW w:w="1236" w:type="dxa"/>
            <w:shd w:val="clear" w:color="auto" w:fill="FFF2CC" w:themeFill="accent4" w:themeFillTint="33"/>
          </w:tcPr>
          <w:p w14:paraId="0C054C0E" w14:textId="77777777" w:rsidR="00B9071F" w:rsidRPr="00E53977" w:rsidRDefault="00B9071F" w:rsidP="002771FB">
            <w:pPr>
              <w:widowControl w:val="0"/>
              <w:jc w:val="right"/>
              <w:cnfStyle w:val="010000000000" w:firstRow="0" w:lastRow="1" w:firstColumn="0" w:lastColumn="0" w:oddVBand="0" w:evenVBand="0" w:oddHBand="0" w:evenHBand="0" w:firstRowFirstColumn="0" w:firstRowLastColumn="0" w:lastRowFirstColumn="0" w:lastRowLastColumn="0"/>
              <w:rPr>
                <w:sz w:val="20"/>
                <w:szCs w:val="20"/>
                <w:highlight w:val="yellow"/>
              </w:rPr>
            </w:pPr>
            <w:r w:rsidRPr="00E53977">
              <w:rPr>
                <w:sz w:val="20"/>
                <w:szCs w:val="20"/>
              </w:rPr>
              <w:t>1.5 %</w:t>
            </w:r>
          </w:p>
        </w:tc>
      </w:tr>
    </w:tbl>
    <w:p w14:paraId="2E90B3AD" w14:textId="77777777" w:rsidR="00B9071F" w:rsidRPr="00E53977" w:rsidRDefault="00B9071F" w:rsidP="002771FB">
      <w:pPr>
        <w:widowControl w:val="0"/>
        <w:rPr>
          <w:rFonts w:cs="Times New Roman"/>
          <w:i/>
          <w:szCs w:val="24"/>
        </w:rPr>
      </w:pPr>
    </w:p>
    <w:p w14:paraId="30896DD6" w14:textId="5F259482" w:rsidR="00A53C34" w:rsidRPr="00E53977" w:rsidRDefault="00A53C34" w:rsidP="002771FB">
      <w:pPr>
        <w:widowControl w:val="0"/>
        <w:rPr>
          <w:b/>
        </w:rPr>
      </w:pPr>
      <w:r w:rsidRPr="00E53977">
        <w:rPr>
          <w:b/>
        </w:rPr>
        <w:t>Indicative Cost of Compliance for NFA's Veterinary Department</w:t>
      </w:r>
    </w:p>
    <w:tbl>
      <w:tblPr>
        <w:tblStyle w:val="GridTable1Light1"/>
        <w:tblW w:w="9085" w:type="dxa"/>
        <w:tblLook w:val="06E0" w:firstRow="1" w:lastRow="1" w:firstColumn="1" w:lastColumn="0" w:noHBand="1" w:noVBand="1"/>
      </w:tblPr>
      <w:tblGrid>
        <w:gridCol w:w="3852"/>
        <w:gridCol w:w="2533"/>
        <w:gridCol w:w="1350"/>
        <w:gridCol w:w="1350"/>
      </w:tblGrid>
      <w:tr w:rsidR="00A53C34" w:rsidRPr="00E53977" w14:paraId="2FEEFFBC" w14:textId="77777777" w:rsidTr="007708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70C0"/>
          </w:tcPr>
          <w:p w14:paraId="23476530" w14:textId="77777777" w:rsidR="00A53C34" w:rsidRPr="00E53977" w:rsidRDefault="00A53C34" w:rsidP="002771FB">
            <w:pPr>
              <w:pStyle w:val="List1"/>
              <w:numPr>
                <w:ilvl w:val="0"/>
                <w:numId w:val="0"/>
              </w:numPr>
            </w:pPr>
            <w:r w:rsidRPr="00E53977">
              <w:t>Decree</w:t>
            </w:r>
          </w:p>
        </w:tc>
        <w:tc>
          <w:tcPr>
            <w:tcW w:w="2533" w:type="dxa"/>
            <w:shd w:val="clear" w:color="auto" w:fill="0070C0"/>
          </w:tcPr>
          <w:p w14:paraId="0501AFFE" w14:textId="77777777" w:rsidR="00A53C34" w:rsidRPr="00E53977" w:rsidRDefault="00A53C34" w:rsidP="002771FB">
            <w:pPr>
              <w:pStyle w:val="List1"/>
              <w:numPr>
                <w:ilvl w:val="0"/>
                <w:numId w:val="0"/>
              </w:numPr>
              <w:cnfStyle w:val="100000000000" w:firstRow="1" w:lastRow="0" w:firstColumn="0" w:lastColumn="0" w:oddVBand="0" w:evenVBand="0" w:oddHBand="0" w:evenHBand="0" w:firstRowFirstColumn="0" w:firstRowLastColumn="0" w:lastRowFirstColumn="0" w:lastRowLastColumn="0"/>
            </w:pPr>
            <w:r w:rsidRPr="00E53977">
              <w:t>Scope</w:t>
            </w:r>
          </w:p>
        </w:tc>
        <w:tc>
          <w:tcPr>
            <w:tcW w:w="1350" w:type="dxa"/>
            <w:tcBorders>
              <w:right w:val="single" w:sz="4" w:space="0" w:color="auto"/>
            </w:tcBorders>
            <w:shd w:val="clear" w:color="auto" w:fill="0070C0"/>
          </w:tcPr>
          <w:p w14:paraId="2CC956AD" w14:textId="77777777" w:rsidR="00A53C34" w:rsidRPr="00E53977" w:rsidRDefault="00A53C34" w:rsidP="002771FB">
            <w:pPr>
              <w:pStyle w:val="List1"/>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E53977">
              <w:t xml:space="preserve">Initial Budget </w:t>
            </w:r>
          </w:p>
        </w:tc>
        <w:tc>
          <w:tcPr>
            <w:tcW w:w="1350" w:type="dxa"/>
            <w:tcBorders>
              <w:left w:val="single" w:sz="4" w:space="0" w:color="auto"/>
            </w:tcBorders>
            <w:shd w:val="clear" w:color="auto" w:fill="0070C0"/>
          </w:tcPr>
          <w:p w14:paraId="430EF58D" w14:textId="77777777" w:rsidR="00A53C34" w:rsidRPr="00E53977" w:rsidRDefault="00A53C34" w:rsidP="002771FB">
            <w:pPr>
              <w:pStyle w:val="List1"/>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E53977">
              <w:t xml:space="preserve">Recurring Budget </w:t>
            </w:r>
          </w:p>
        </w:tc>
      </w:tr>
      <w:tr w:rsidR="00A53C34" w:rsidRPr="00E53977" w14:paraId="59B6B203" w14:textId="77777777" w:rsidTr="007708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ED59D25" w14:textId="77777777" w:rsidR="00A53C34" w:rsidRPr="00E53977" w:rsidRDefault="00A53C34" w:rsidP="002771FB">
            <w:pPr>
              <w:pStyle w:val="List1"/>
              <w:numPr>
                <w:ilvl w:val="0"/>
                <w:numId w:val="0"/>
              </w:numPr>
            </w:pPr>
            <w:r w:rsidRPr="00E53977">
              <w:t>№584 2017 “on approval of technical regulations – influence of animal diseases on trade of large and small ruminants”</w:t>
            </w:r>
          </w:p>
        </w:tc>
        <w:tc>
          <w:tcPr>
            <w:tcW w:w="2533" w:type="dxa"/>
          </w:tcPr>
          <w:p w14:paraId="63FA8A14"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Control of brucellosis, tuberculosis, and leukosis.</w:t>
            </w:r>
          </w:p>
        </w:tc>
        <w:tc>
          <w:tcPr>
            <w:tcW w:w="1350" w:type="dxa"/>
            <w:tcBorders>
              <w:right w:val="single" w:sz="4" w:space="0" w:color="auto"/>
            </w:tcBorders>
          </w:tcPr>
          <w:p w14:paraId="1D900200"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 xml:space="preserve">GEL 34 M </w:t>
            </w:r>
          </w:p>
        </w:tc>
        <w:tc>
          <w:tcPr>
            <w:tcW w:w="1350" w:type="dxa"/>
            <w:tcBorders>
              <w:left w:val="single" w:sz="4" w:space="0" w:color="auto"/>
            </w:tcBorders>
          </w:tcPr>
          <w:p w14:paraId="38A98095"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 xml:space="preserve">GEL 10 M </w:t>
            </w:r>
          </w:p>
        </w:tc>
      </w:tr>
      <w:tr w:rsidR="00A53C34" w:rsidRPr="00E53977" w14:paraId="0F5F408D" w14:textId="77777777" w:rsidTr="007708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0D80DC8" w14:textId="77777777" w:rsidR="00A53C34" w:rsidRPr="00E53977" w:rsidRDefault="00A53C34" w:rsidP="002771FB">
            <w:pPr>
              <w:pStyle w:val="List1"/>
              <w:numPr>
                <w:ilvl w:val="0"/>
                <w:numId w:val="0"/>
              </w:numPr>
            </w:pPr>
            <w:r w:rsidRPr="00E53977">
              <w:t xml:space="preserve">№600 2016 “on approval of rules on prevention, control and eradication of transferable BSEs” </w:t>
            </w:r>
          </w:p>
        </w:tc>
        <w:tc>
          <w:tcPr>
            <w:tcW w:w="2533" w:type="dxa"/>
          </w:tcPr>
          <w:p w14:paraId="0B9592B1"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New requirements for NFA testing for BSEs, commonly known as “mad cow disease”.</w:t>
            </w:r>
          </w:p>
        </w:tc>
        <w:tc>
          <w:tcPr>
            <w:tcW w:w="1350" w:type="dxa"/>
            <w:tcBorders>
              <w:right w:val="single" w:sz="4" w:space="0" w:color="auto"/>
            </w:tcBorders>
          </w:tcPr>
          <w:p w14:paraId="04294C66"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 xml:space="preserve">GEL 7.5 M </w:t>
            </w:r>
          </w:p>
        </w:tc>
        <w:tc>
          <w:tcPr>
            <w:tcW w:w="1350" w:type="dxa"/>
            <w:tcBorders>
              <w:left w:val="single" w:sz="4" w:space="0" w:color="auto"/>
            </w:tcBorders>
          </w:tcPr>
          <w:p w14:paraId="3F648C18"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 xml:space="preserve">GEL 7.5 M </w:t>
            </w:r>
          </w:p>
        </w:tc>
      </w:tr>
      <w:tr w:rsidR="00A53C34" w:rsidRPr="00E53977" w14:paraId="67C7D3E3" w14:textId="77777777" w:rsidTr="007708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43C0DCE" w14:textId="77777777" w:rsidR="00A53C34" w:rsidRPr="00E53977" w:rsidRDefault="00A53C34" w:rsidP="002771FB">
            <w:pPr>
              <w:pStyle w:val="List1"/>
              <w:numPr>
                <w:ilvl w:val="0"/>
                <w:numId w:val="0"/>
              </w:numPr>
              <w:rPr>
                <w:b w:val="0"/>
              </w:rPr>
            </w:pPr>
            <w:r w:rsidRPr="00E53977">
              <w:t xml:space="preserve">№584 2017 “on the transfer of animal disease control quarantine activities and rules” </w:t>
            </w:r>
          </w:p>
        </w:tc>
        <w:tc>
          <w:tcPr>
            <w:tcW w:w="2533" w:type="dxa"/>
          </w:tcPr>
          <w:p w14:paraId="1EEA7499"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Control of African swine fever.</w:t>
            </w:r>
          </w:p>
        </w:tc>
        <w:tc>
          <w:tcPr>
            <w:tcW w:w="1350" w:type="dxa"/>
            <w:tcBorders>
              <w:right w:val="single" w:sz="4" w:space="0" w:color="auto"/>
            </w:tcBorders>
          </w:tcPr>
          <w:p w14:paraId="2387E67A"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 xml:space="preserve">GEL 2 M </w:t>
            </w:r>
          </w:p>
        </w:tc>
        <w:tc>
          <w:tcPr>
            <w:tcW w:w="1350" w:type="dxa"/>
            <w:tcBorders>
              <w:left w:val="single" w:sz="4" w:space="0" w:color="auto"/>
            </w:tcBorders>
          </w:tcPr>
          <w:p w14:paraId="2FA1A871"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 xml:space="preserve">GEL 2 M </w:t>
            </w:r>
          </w:p>
        </w:tc>
      </w:tr>
      <w:tr w:rsidR="00A53C34" w:rsidRPr="00E53977" w14:paraId="4BF8A63B" w14:textId="77777777" w:rsidTr="007708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8188753" w14:textId="77777777" w:rsidR="00A53C34" w:rsidRPr="00E53977" w:rsidRDefault="00A53C34" w:rsidP="002771FB">
            <w:pPr>
              <w:pStyle w:val="List1"/>
              <w:numPr>
                <w:ilvl w:val="0"/>
                <w:numId w:val="0"/>
              </w:numPr>
            </w:pPr>
            <w:r w:rsidRPr="00E53977">
              <w:t>№22 2016 “on approval of monitoring rules of live animal and animal-origin food control on special elements and their residues”</w:t>
            </w:r>
          </w:p>
        </w:tc>
        <w:tc>
          <w:tcPr>
            <w:tcW w:w="2533" w:type="dxa"/>
          </w:tcPr>
          <w:p w14:paraId="600C6F84"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Conducting residue investigations.</w:t>
            </w:r>
          </w:p>
        </w:tc>
        <w:tc>
          <w:tcPr>
            <w:tcW w:w="1350" w:type="dxa"/>
            <w:tcBorders>
              <w:right w:val="single" w:sz="4" w:space="0" w:color="auto"/>
            </w:tcBorders>
          </w:tcPr>
          <w:p w14:paraId="581EF83D"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 xml:space="preserve">GEL 630,000 </w:t>
            </w:r>
          </w:p>
        </w:tc>
        <w:tc>
          <w:tcPr>
            <w:tcW w:w="1350" w:type="dxa"/>
            <w:tcBorders>
              <w:left w:val="single" w:sz="4" w:space="0" w:color="auto"/>
            </w:tcBorders>
          </w:tcPr>
          <w:p w14:paraId="37261B78"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 xml:space="preserve">GEL 630,000 </w:t>
            </w:r>
          </w:p>
        </w:tc>
      </w:tr>
      <w:tr w:rsidR="00A53C34" w:rsidRPr="00E53977" w14:paraId="0755F986" w14:textId="77777777" w:rsidTr="0077087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D0E04E5" w14:textId="77777777" w:rsidR="00A53C34" w:rsidRPr="00E53977" w:rsidRDefault="00A53C34" w:rsidP="002771FB">
            <w:pPr>
              <w:pStyle w:val="List1"/>
              <w:numPr>
                <w:ilvl w:val="0"/>
                <w:numId w:val="0"/>
              </w:numPr>
            </w:pPr>
            <w:r w:rsidRPr="00E53977">
              <w:t xml:space="preserve">№636 2016 “on approval of methods on diagnose and sampling plan of VHS and IHN” </w:t>
            </w:r>
          </w:p>
        </w:tc>
        <w:tc>
          <w:tcPr>
            <w:tcW w:w="2533" w:type="dxa"/>
          </w:tcPr>
          <w:p w14:paraId="3DDE8867"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Control of diseases in fish.</w:t>
            </w:r>
          </w:p>
        </w:tc>
        <w:tc>
          <w:tcPr>
            <w:tcW w:w="1350" w:type="dxa"/>
            <w:tcBorders>
              <w:right w:val="single" w:sz="4" w:space="0" w:color="auto"/>
            </w:tcBorders>
          </w:tcPr>
          <w:p w14:paraId="1D23AEA3"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 xml:space="preserve">GEL 600,000 </w:t>
            </w:r>
          </w:p>
        </w:tc>
        <w:tc>
          <w:tcPr>
            <w:tcW w:w="1350" w:type="dxa"/>
            <w:tcBorders>
              <w:left w:val="single" w:sz="4" w:space="0" w:color="auto"/>
            </w:tcBorders>
          </w:tcPr>
          <w:p w14:paraId="7CEF672C" w14:textId="77777777" w:rsidR="00A53C34" w:rsidRPr="00E53977" w:rsidRDefault="00A53C34" w:rsidP="002771FB">
            <w:pPr>
              <w:pStyle w:val="List1"/>
              <w:numPr>
                <w:ilvl w:val="0"/>
                <w:numId w:val="0"/>
              </w:numPr>
              <w:cnfStyle w:val="000000000000" w:firstRow="0" w:lastRow="0" w:firstColumn="0" w:lastColumn="0" w:oddVBand="0" w:evenVBand="0" w:oddHBand="0" w:evenHBand="0" w:firstRowFirstColumn="0" w:firstRowLastColumn="0" w:lastRowFirstColumn="0" w:lastRowLastColumn="0"/>
            </w:pPr>
            <w:r w:rsidRPr="00E53977">
              <w:t xml:space="preserve">GEL 600,000 </w:t>
            </w:r>
          </w:p>
        </w:tc>
      </w:tr>
      <w:tr w:rsidR="00A53C34" w:rsidRPr="00E53977" w14:paraId="3EAE2040" w14:textId="77777777" w:rsidTr="00770877">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FF2CC" w:themeFill="accent4" w:themeFillTint="33"/>
          </w:tcPr>
          <w:p w14:paraId="08524AF2" w14:textId="77777777" w:rsidR="00A53C34" w:rsidRPr="00E53977" w:rsidRDefault="00A53C34" w:rsidP="002771FB">
            <w:pPr>
              <w:pStyle w:val="List1"/>
              <w:numPr>
                <w:ilvl w:val="0"/>
                <w:numId w:val="0"/>
              </w:numPr>
            </w:pPr>
            <w:r w:rsidRPr="00E53977">
              <w:t>Total</w:t>
            </w:r>
          </w:p>
        </w:tc>
        <w:tc>
          <w:tcPr>
            <w:tcW w:w="2533" w:type="dxa"/>
            <w:shd w:val="clear" w:color="auto" w:fill="FFF2CC" w:themeFill="accent4" w:themeFillTint="33"/>
          </w:tcPr>
          <w:p w14:paraId="5811E168" w14:textId="77777777" w:rsidR="00A53C34" w:rsidRPr="00E53977" w:rsidRDefault="00A53C34" w:rsidP="002771FB">
            <w:pPr>
              <w:pStyle w:val="List1"/>
              <w:numPr>
                <w:ilvl w:val="0"/>
                <w:numId w:val="0"/>
              </w:numPr>
              <w:cnfStyle w:val="010000000000" w:firstRow="0" w:lastRow="1" w:firstColumn="0" w:lastColumn="0" w:oddVBand="0" w:evenVBand="0" w:oddHBand="0" w:evenHBand="0" w:firstRowFirstColumn="0" w:firstRowLastColumn="0" w:lastRowFirstColumn="0" w:lastRowLastColumn="0"/>
            </w:pPr>
          </w:p>
        </w:tc>
        <w:tc>
          <w:tcPr>
            <w:tcW w:w="1350" w:type="dxa"/>
            <w:tcBorders>
              <w:right w:val="single" w:sz="4" w:space="0" w:color="auto"/>
            </w:tcBorders>
            <w:shd w:val="clear" w:color="auto" w:fill="FFF2CC" w:themeFill="accent4" w:themeFillTint="33"/>
          </w:tcPr>
          <w:p w14:paraId="4101352A" w14:textId="77777777" w:rsidR="00A53C34" w:rsidRPr="00E53977" w:rsidRDefault="00A53C34" w:rsidP="002771FB">
            <w:pPr>
              <w:pStyle w:val="List1"/>
              <w:numPr>
                <w:ilvl w:val="0"/>
                <w:numId w:val="0"/>
              </w:numPr>
              <w:cnfStyle w:val="010000000000" w:firstRow="0" w:lastRow="1" w:firstColumn="0" w:lastColumn="0" w:oddVBand="0" w:evenVBand="0" w:oddHBand="0" w:evenHBand="0" w:firstRowFirstColumn="0" w:firstRowLastColumn="0" w:lastRowFirstColumn="0" w:lastRowLastColumn="0"/>
            </w:pPr>
            <w:r w:rsidRPr="00E53977">
              <w:t>GEL 44.73 M</w:t>
            </w:r>
          </w:p>
        </w:tc>
        <w:tc>
          <w:tcPr>
            <w:tcW w:w="1350" w:type="dxa"/>
            <w:tcBorders>
              <w:left w:val="single" w:sz="4" w:space="0" w:color="auto"/>
            </w:tcBorders>
            <w:shd w:val="clear" w:color="auto" w:fill="FFF2CC" w:themeFill="accent4" w:themeFillTint="33"/>
          </w:tcPr>
          <w:p w14:paraId="666152B0" w14:textId="77777777" w:rsidR="00A53C34" w:rsidRPr="00E53977" w:rsidRDefault="00A53C34" w:rsidP="002771FB">
            <w:pPr>
              <w:pStyle w:val="List1"/>
              <w:numPr>
                <w:ilvl w:val="0"/>
                <w:numId w:val="0"/>
              </w:numPr>
              <w:cnfStyle w:val="010000000000" w:firstRow="0" w:lastRow="1" w:firstColumn="0" w:lastColumn="0" w:oddVBand="0" w:evenVBand="0" w:oddHBand="0" w:evenHBand="0" w:firstRowFirstColumn="0" w:firstRowLastColumn="0" w:lastRowFirstColumn="0" w:lastRowLastColumn="0"/>
            </w:pPr>
            <w:r w:rsidRPr="00E53977">
              <w:t>GEL 20.73 M</w:t>
            </w:r>
          </w:p>
        </w:tc>
      </w:tr>
    </w:tbl>
    <w:p w14:paraId="391809D2" w14:textId="77777777" w:rsidR="00A53C34" w:rsidRPr="00E53977" w:rsidRDefault="00A53C34" w:rsidP="002771FB">
      <w:pPr>
        <w:pStyle w:val="List1"/>
        <w:numPr>
          <w:ilvl w:val="0"/>
          <w:numId w:val="0"/>
        </w:numPr>
      </w:pPr>
    </w:p>
    <w:p w14:paraId="0049C2C0" w14:textId="77777777" w:rsidR="00B9071F" w:rsidRPr="00E53977" w:rsidRDefault="00B9071F" w:rsidP="002771FB">
      <w:pPr>
        <w:widowControl w:val="0"/>
        <w:jc w:val="left"/>
        <w:rPr>
          <w:rStyle w:val="Heading1Char"/>
        </w:rPr>
      </w:pPr>
      <w:r w:rsidRPr="00E53977">
        <w:rPr>
          <w:rStyle w:val="Heading1Char"/>
        </w:rPr>
        <w:br w:type="page"/>
      </w:r>
    </w:p>
    <w:p w14:paraId="28C0FD7E" w14:textId="746AED78" w:rsidR="00B9071F" w:rsidRPr="00E53977" w:rsidRDefault="00052565" w:rsidP="002771FB">
      <w:pPr>
        <w:pStyle w:val="Heading1"/>
        <w:widowControl w:val="0"/>
        <w:rPr>
          <w:rStyle w:val="Heading1Char"/>
        </w:rPr>
      </w:pPr>
      <w:bookmarkStart w:id="103" w:name="_Toc520906391"/>
      <w:r w:rsidRPr="00E53977">
        <w:rPr>
          <w:rStyle w:val="Heading1Char"/>
          <w:b/>
        </w:rPr>
        <w:lastRenderedPageBreak/>
        <w:t>ANNEX 6</w:t>
      </w:r>
      <w:r w:rsidR="00B9071F" w:rsidRPr="00E53977">
        <w:rPr>
          <w:rStyle w:val="Heading1Char"/>
          <w:b/>
          <w:caps/>
        </w:rPr>
        <w:t>: DECREASE IN ANIMAL DISEASES IN 2010</w:t>
      </w:r>
      <w:r w:rsidR="00C311EE" w:rsidRPr="00E53977">
        <w:rPr>
          <w:rStyle w:val="Heading1Char"/>
          <w:b/>
          <w:caps/>
        </w:rPr>
        <w:t>-</w:t>
      </w:r>
      <w:r w:rsidR="00B9071F" w:rsidRPr="00E53977">
        <w:rPr>
          <w:rStyle w:val="Heading1Char"/>
          <w:b/>
          <w:caps/>
        </w:rPr>
        <w:t>17</w:t>
      </w:r>
      <w:bookmarkEnd w:id="103"/>
    </w:p>
    <w:p w14:paraId="0EC99808" w14:textId="77777777" w:rsidR="00B9071F" w:rsidRPr="00E53977" w:rsidRDefault="00B9071F" w:rsidP="002771FB">
      <w:pPr>
        <w:widowControl w:val="0"/>
        <w:rPr>
          <w:rFonts w:cs="Times New Roman"/>
          <w:i/>
          <w:szCs w:val="24"/>
        </w:rPr>
      </w:pPr>
      <w:r w:rsidRPr="00E53977">
        <w:rPr>
          <w:rFonts w:cs="Times New Roman"/>
          <w:i/>
          <w:szCs w:val="24"/>
        </w:rPr>
        <w:t>Note that the beginning of NFA’s interventions is indicated by a red arrow.</w:t>
      </w:r>
    </w:p>
    <w:p w14:paraId="66DA10D1" w14:textId="25BAB98A" w:rsidR="00B9071F" w:rsidRPr="00E53977" w:rsidRDefault="00C311EE" w:rsidP="002771FB">
      <w:pPr>
        <w:widowControl w:val="0"/>
        <w:ind w:right="-35"/>
      </w:pPr>
      <w:r w:rsidRPr="00E53977">
        <w:rPr>
          <w:noProof/>
        </w:rPr>
        <mc:AlternateContent>
          <mc:Choice Requires="wps">
            <w:drawing>
              <wp:anchor distT="0" distB="0" distL="114300" distR="114300" simplePos="0" relativeHeight="251660288" behindDoc="0" locked="0" layoutInCell="1" allowOverlap="1" wp14:anchorId="4E8DC550" wp14:editId="5238B906">
                <wp:simplePos x="0" y="0"/>
                <wp:positionH relativeFrom="column">
                  <wp:posOffset>4138971</wp:posOffset>
                </wp:positionH>
                <wp:positionV relativeFrom="paragraph">
                  <wp:posOffset>402025</wp:posOffset>
                </wp:positionV>
                <wp:extent cx="271145" cy="171450"/>
                <wp:effectExtent l="0" t="7302" r="7302" b="7303"/>
                <wp:wrapNone/>
                <wp:docPr id="10" name="Right Arrow 9"/>
                <wp:cNvGraphicFramePr/>
                <a:graphic xmlns:a="http://schemas.openxmlformats.org/drawingml/2006/main">
                  <a:graphicData uri="http://schemas.microsoft.com/office/word/2010/wordprocessingShape">
                    <wps:wsp>
                      <wps:cNvSpPr/>
                      <wps:spPr>
                        <a:xfrm rot="5400000">
                          <a:off x="0" y="0"/>
                          <a:ext cx="271145" cy="17145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type w14:anchorId="4A6E24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325.9pt;margin-top:31.65pt;width:21.35pt;height:13.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" adj="14771" fillcolor="#ed7d31 [3205]" stroked="f" strokeweight="1pt"/>
            </w:pict>
          </mc:Fallback>
        </mc:AlternateContent>
      </w:r>
      <w:r w:rsidRPr="00E53977">
        <w:rPr>
          <w:noProof/>
        </w:rPr>
        <mc:AlternateContent>
          <mc:Choice Requires="wps">
            <w:drawing>
              <wp:anchor distT="0" distB="0" distL="114300" distR="114300" simplePos="0" relativeHeight="251658240" behindDoc="0" locked="0" layoutInCell="1" allowOverlap="1" wp14:anchorId="76D0AE0B" wp14:editId="651EEC8D">
                <wp:simplePos x="0" y="0"/>
                <wp:positionH relativeFrom="column">
                  <wp:posOffset>1162946</wp:posOffset>
                </wp:positionH>
                <wp:positionV relativeFrom="paragraph">
                  <wp:posOffset>455613</wp:posOffset>
                </wp:positionV>
                <wp:extent cx="271145" cy="171450"/>
                <wp:effectExtent l="0" t="7302" r="7302" b="7303"/>
                <wp:wrapNone/>
                <wp:docPr id="41" name="Right Arrow 7"/>
                <wp:cNvGraphicFramePr/>
                <a:graphic xmlns:a="http://schemas.openxmlformats.org/drawingml/2006/main">
                  <a:graphicData uri="http://schemas.microsoft.com/office/word/2010/wordprocessingShape">
                    <wps:wsp>
                      <wps:cNvSpPr/>
                      <wps:spPr>
                        <a:xfrm rot="5400000">
                          <a:off x="0" y="0"/>
                          <a:ext cx="271145" cy="17145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702AE418" id="Right Arrow 7" o:spid="_x0000_s1026" type="#_x0000_t13" style="position:absolute;margin-left:91.55pt;margin-top:35.9pt;width:21.35pt;height:13.5pt;rotation:9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" adj="14771" fillcolor="#ed7d31 [3205]" stroked="f" strokeweight="1pt"/>
            </w:pict>
          </mc:Fallback>
        </mc:AlternateContent>
      </w:r>
      <w:r w:rsidR="00B9071F" w:rsidRPr="00E53977">
        <w:rPr>
          <w:noProof/>
        </w:rPr>
        <w:drawing>
          <wp:inline distT="0" distB="0" distL="0" distR="0" wp14:anchorId="45DE1EEE" wp14:editId="6E65C119">
            <wp:extent cx="2743200" cy="169383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1693831"/>
                    </a:xfrm>
                    <a:prstGeom prst="rect">
                      <a:avLst/>
                    </a:prstGeom>
                    <a:noFill/>
                  </pic:spPr>
                </pic:pic>
              </a:graphicData>
            </a:graphic>
          </wp:inline>
        </w:drawing>
      </w:r>
      <w:r w:rsidR="00BF63AB" w:rsidRPr="00E53977">
        <w:t xml:space="preserve"> </w:t>
      </w:r>
      <w:r w:rsidR="00B9071F" w:rsidRPr="00E53977">
        <w:rPr>
          <w:noProof/>
        </w:rPr>
        <w:drawing>
          <wp:inline distT="0" distB="0" distL="0" distR="0" wp14:anchorId="6962F790" wp14:editId="50ADE127">
            <wp:extent cx="2743200" cy="1693831"/>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1693831"/>
                    </a:xfrm>
                    <a:prstGeom prst="rect">
                      <a:avLst/>
                    </a:prstGeom>
                    <a:noFill/>
                  </pic:spPr>
                </pic:pic>
              </a:graphicData>
            </a:graphic>
          </wp:inline>
        </w:drawing>
      </w:r>
    </w:p>
    <w:p w14:paraId="56C41EAE" w14:textId="77777777" w:rsidR="00B9071F" w:rsidRPr="00E53977" w:rsidRDefault="00B9071F" w:rsidP="002771FB">
      <w:pPr>
        <w:widowControl w:val="0"/>
      </w:pPr>
    </w:p>
    <w:p w14:paraId="3CD9E39C" w14:textId="6EEE4CE8" w:rsidR="00B9071F" w:rsidRPr="00E53977" w:rsidRDefault="00C311EE" w:rsidP="002771FB">
      <w:pPr>
        <w:widowControl w:val="0"/>
        <w:ind w:right="-177"/>
      </w:pPr>
      <w:r w:rsidRPr="00E53977">
        <w:rPr>
          <w:noProof/>
        </w:rPr>
        <mc:AlternateContent>
          <mc:Choice Requires="wps">
            <w:drawing>
              <wp:anchor distT="0" distB="0" distL="114300" distR="114300" simplePos="0" relativeHeight="251661312" behindDoc="0" locked="0" layoutInCell="1" allowOverlap="1" wp14:anchorId="30611082" wp14:editId="39A385C9">
                <wp:simplePos x="0" y="0"/>
                <wp:positionH relativeFrom="column">
                  <wp:posOffset>4423672</wp:posOffset>
                </wp:positionH>
                <wp:positionV relativeFrom="paragraph">
                  <wp:posOffset>552133</wp:posOffset>
                </wp:positionV>
                <wp:extent cx="271145" cy="171450"/>
                <wp:effectExtent l="0" t="7302" r="7302" b="7303"/>
                <wp:wrapNone/>
                <wp:docPr id="47" name="Right Arrow 9"/>
                <wp:cNvGraphicFramePr/>
                <a:graphic xmlns:a="http://schemas.openxmlformats.org/drawingml/2006/main">
                  <a:graphicData uri="http://schemas.microsoft.com/office/word/2010/wordprocessingShape">
                    <wps:wsp>
                      <wps:cNvSpPr/>
                      <wps:spPr>
                        <a:xfrm rot="5400000">
                          <a:off x="0" y="0"/>
                          <a:ext cx="271145" cy="17145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shape w14:anchorId="335DBA09" id="Right Arrow 9" o:spid="_x0000_s1026" type="#_x0000_t13" style="position:absolute;margin-left:348.3pt;margin-top:43.5pt;width:21.35pt;height:13.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" adj="14771" fillcolor="#ed7d31 [3205]" stroked="f" strokeweight="1pt"/>
            </w:pict>
          </mc:Fallback>
        </mc:AlternateContent>
      </w:r>
      <w:r w:rsidRPr="00E53977">
        <w:rPr>
          <w:noProof/>
        </w:rPr>
        <mc:AlternateContent>
          <mc:Choice Requires="wps">
            <w:drawing>
              <wp:anchor distT="0" distB="0" distL="114300" distR="114300" simplePos="0" relativeHeight="251659264" behindDoc="0" locked="0" layoutInCell="1" allowOverlap="1" wp14:anchorId="52E88318" wp14:editId="51504A15">
                <wp:simplePos x="0" y="0"/>
                <wp:positionH relativeFrom="column">
                  <wp:posOffset>1426776</wp:posOffset>
                </wp:positionH>
                <wp:positionV relativeFrom="paragraph">
                  <wp:posOffset>467568</wp:posOffset>
                </wp:positionV>
                <wp:extent cx="271145" cy="171450"/>
                <wp:effectExtent l="0" t="7302" r="7302" b="7303"/>
                <wp:wrapNone/>
                <wp:docPr id="42" name="Right Arrow 7"/>
                <wp:cNvGraphicFramePr/>
                <a:graphic xmlns:a="http://schemas.openxmlformats.org/drawingml/2006/main">
                  <a:graphicData uri="http://schemas.microsoft.com/office/word/2010/wordprocessingShape">
                    <wps:wsp>
                      <wps:cNvSpPr/>
                      <wps:spPr>
                        <a:xfrm rot="5400000">
                          <a:off x="0" y="0"/>
                          <a:ext cx="271145" cy="17145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6D068188" id="Right Arrow 7" o:spid="_x0000_s1026" type="#_x0000_t13" style="position:absolute;margin-left:112.35pt;margin-top:36.8pt;width:21.35pt;height:13.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" adj="14771" fillcolor="#ed7d31 [3205]" stroked="f" strokeweight="1pt"/>
            </w:pict>
          </mc:Fallback>
        </mc:AlternateContent>
      </w:r>
      <w:r w:rsidR="00B9071F" w:rsidRPr="00E53977">
        <w:rPr>
          <w:noProof/>
        </w:rPr>
        <w:drawing>
          <wp:inline distT="0" distB="0" distL="0" distR="0" wp14:anchorId="6186AB03" wp14:editId="1036EE35">
            <wp:extent cx="2743200" cy="1693831"/>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1693831"/>
                    </a:xfrm>
                    <a:prstGeom prst="rect">
                      <a:avLst/>
                    </a:prstGeom>
                    <a:noFill/>
                  </pic:spPr>
                </pic:pic>
              </a:graphicData>
            </a:graphic>
          </wp:inline>
        </w:drawing>
      </w:r>
      <w:r w:rsidR="00BF63AB" w:rsidRPr="00E53977">
        <w:t xml:space="preserve"> </w:t>
      </w:r>
      <w:r w:rsidR="00B9071F" w:rsidRPr="00E53977">
        <w:rPr>
          <w:noProof/>
        </w:rPr>
        <w:drawing>
          <wp:inline distT="0" distB="0" distL="0" distR="0" wp14:anchorId="006A2B8C" wp14:editId="265D3448">
            <wp:extent cx="2743200" cy="1693831"/>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0" cy="1693831"/>
                    </a:xfrm>
                    <a:prstGeom prst="rect">
                      <a:avLst/>
                    </a:prstGeom>
                    <a:noFill/>
                  </pic:spPr>
                </pic:pic>
              </a:graphicData>
            </a:graphic>
          </wp:inline>
        </w:drawing>
      </w:r>
    </w:p>
    <w:p w14:paraId="0DFDAED1" w14:textId="77777777" w:rsidR="00B9071F" w:rsidRPr="00E53977" w:rsidRDefault="00B9071F" w:rsidP="002771FB">
      <w:pPr>
        <w:widowControl w:val="0"/>
      </w:pPr>
    </w:p>
    <w:p w14:paraId="582844EB" w14:textId="77777777" w:rsidR="00B9071F" w:rsidRPr="00E53977" w:rsidRDefault="00B9071F" w:rsidP="002771FB">
      <w:pPr>
        <w:widowControl w:val="0"/>
      </w:pPr>
      <w:r w:rsidRPr="00E53977">
        <w:rPr>
          <w:noProof/>
          <w:highlight w:val="yellow"/>
        </w:rPr>
        <mc:AlternateContent>
          <mc:Choice Requires="wps">
            <w:drawing>
              <wp:anchor distT="0" distB="0" distL="114300" distR="114300" simplePos="0" relativeHeight="251662336" behindDoc="0" locked="0" layoutInCell="1" allowOverlap="1" wp14:anchorId="3D2591DE" wp14:editId="60AB7D81">
                <wp:simplePos x="0" y="0"/>
                <wp:positionH relativeFrom="column">
                  <wp:posOffset>1293812</wp:posOffset>
                </wp:positionH>
                <wp:positionV relativeFrom="paragraph">
                  <wp:posOffset>396559</wp:posOffset>
                </wp:positionV>
                <wp:extent cx="271463" cy="171450"/>
                <wp:effectExtent l="0" t="7302" r="7302" b="7303"/>
                <wp:wrapNone/>
                <wp:docPr id="48" name="Right Arrow 9"/>
                <wp:cNvGraphicFramePr/>
                <a:graphic xmlns:a="http://schemas.openxmlformats.org/drawingml/2006/main">
                  <a:graphicData uri="http://schemas.microsoft.com/office/word/2010/wordprocessingShape">
                    <wps:wsp>
                      <wps:cNvSpPr/>
                      <wps:spPr>
                        <a:xfrm rot="5400000">
                          <a:off x="0" y="0"/>
                          <a:ext cx="271463" cy="17145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3C39FD0D" id="Right Arrow 9" o:spid="_x0000_s1026" type="#_x0000_t13" style="position:absolute;margin-left:101.85pt;margin-top:31.25pt;width:21.4pt;height:13.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" adj="14779" fillcolor="#ed7d31 [3205]" stroked="f" strokeweight="1pt"/>
            </w:pict>
          </mc:Fallback>
        </mc:AlternateContent>
      </w:r>
      <w:r w:rsidRPr="00E53977">
        <w:rPr>
          <w:noProof/>
        </w:rPr>
        <w:drawing>
          <wp:inline distT="0" distB="0" distL="0" distR="0" wp14:anchorId="41BEE417" wp14:editId="2DFAA56A">
            <wp:extent cx="2743200" cy="1693831"/>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3200" cy="1693831"/>
                    </a:xfrm>
                    <a:prstGeom prst="rect">
                      <a:avLst/>
                    </a:prstGeom>
                    <a:noFill/>
                  </pic:spPr>
                </pic:pic>
              </a:graphicData>
            </a:graphic>
          </wp:inline>
        </w:drawing>
      </w:r>
    </w:p>
    <w:p w14:paraId="1BE8BFAB" w14:textId="77777777" w:rsidR="00B9071F" w:rsidRPr="00E53977" w:rsidRDefault="00B9071F" w:rsidP="002771FB">
      <w:pPr>
        <w:widowControl w:val="0"/>
        <w:jc w:val="left"/>
      </w:pPr>
      <w:r w:rsidRPr="00E53977">
        <w:br w:type="page"/>
      </w:r>
    </w:p>
    <w:p w14:paraId="0DA4E77D" w14:textId="4FC47E28" w:rsidR="00442ABD" w:rsidRPr="00E53977" w:rsidRDefault="00052565" w:rsidP="002771FB">
      <w:pPr>
        <w:pStyle w:val="Heading1"/>
        <w:widowControl w:val="0"/>
      </w:pPr>
      <w:bookmarkStart w:id="104" w:name="_Toc520906392"/>
      <w:r w:rsidRPr="00E53977">
        <w:lastRenderedPageBreak/>
        <w:t>ANNEX 7</w:t>
      </w:r>
      <w:r w:rsidR="00E9513F" w:rsidRPr="00E53977">
        <w:t xml:space="preserve">: </w:t>
      </w:r>
      <w:r w:rsidR="006C41C7" w:rsidRPr="00E53977">
        <w:t>BORDER INSPECTION ACTIVITIES</w:t>
      </w:r>
      <w:bookmarkEnd w:id="104"/>
    </w:p>
    <w:p w14:paraId="2E919E66" w14:textId="7E6ACE82" w:rsidR="00E9513F" w:rsidRPr="00E53977" w:rsidRDefault="00E9513F" w:rsidP="002771FB">
      <w:pPr>
        <w:widowControl w:val="0"/>
        <w:rPr>
          <w:b/>
        </w:rPr>
      </w:pPr>
      <w:r w:rsidRPr="00E53977">
        <w:rPr>
          <w:b/>
        </w:rPr>
        <w:t>Actions Taken for Veterinary and Phytosanitary Control, and GMO Sampling, 2015-17</w:t>
      </w:r>
    </w:p>
    <w:tbl>
      <w:tblPr>
        <w:tblStyle w:val="Vaalearuudukkotaulukko11"/>
        <w:tblW w:w="5000" w:type="pct"/>
        <w:tblLook w:val="04A0" w:firstRow="1" w:lastRow="0" w:firstColumn="1" w:lastColumn="0" w:noHBand="0" w:noVBand="1"/>
      </w:tblPr>
      <w:tblGrid>
        <w:gridCol w:w="638"/>
        <w:gridCol w:w="1694"/>
        <w:gridCol w:w="1924"/>
        <w:gridCol w:w="1043"/>
        <w:gridCol w:w="981"/>
        <w:gridCol w:w="1338"/>
        <w:gridCol w:w="1398"/>
      </w:tblGrid>
      <w:tr w:rsidR="00E9513F" w:rsidRPr="00E53977" w14:paraId="3EAAF55F" w14:textId="77777777" w:rsidTr="004A206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7" w:type="pct"/>
            <w:shd w:val="clear" w:color="auto" w:fill="0070C0"/>
            <w:noWrap/>
            <w:hideMark/>
          </w:tcPr>
          <w:p w14:paraId="23768A65" w14:textId="77777777" w:rsidR="00E9513F" w:rsidRPr="00E53977" w:rsidRDefault="00E9513F" w:rsidP="002771FB">
            <w:pPr>
              <w:widowControl w:val="0"/>
              <w:jc w:val="center"/>
              <w:rPr>
                <w:rFonts w:eastAsia="Times New Roman" w:cs="Times New Roman"/>
                <w:b w:val="0"/>
                <w:bCs w:val="0"/>
                <w:color w:val="FFFFFF" w:themeColor="background1"/>
                <w:sz w:val="20"/>
                <w:szCs w:val="20"/>
              </w:rPr>
            </w:pPr>
            <w:r w:rsidRPr="00E53977">
              <w:rPr>
                <w:rFonts w:cs="Times New Roman"/>
                <w:color w:val="FFFFFF"/>
                <w:sz w:val="20"/>
                <w:szCs w:val="20"/>
              </w:rPr>
              <w:t>Year</w:t>
            </w:r>
          </w:p>
        </w:tc>
        <w:tc>
          <w:tcPr>
            <w:tcW w:w="942" w:type="pct"/>
            <w:shd w:val="clear" w:color="auto" w:fill="0070C0"/>
            <w:hideMark/>
          </w:tcPr>
          <w:p w14:paraId="15A80848"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FFFFFF"/>
                <w:sz w:val="20"/>
                <w:szCs w:val="20"/>
              </w:rPr>
            </w:pPr>
            <w:r w:rsidRPr="00E53977">
              <w:rPr>
                <w:rFonts w:cs="Times New Roman"/>
                <w:color w:val="FFFFFF"/>
                <w:sz w:val="20"/>
                <w:szCs w:val="20"/>
              </w:rPr>
              <w:t xml:space="preserve">Actions Taken, </w:t>
            </w:r>
          </w:p>
          <w:p w14:paraId="6A525F7C"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sz w:val="20"/>
                <w:szCs w:val="20"/>
              </w:rPr>
            </w:pPr>
            <w:r w:rsidRPr="00E53977">
              <w:rPr>
                <w:rFonts w:cs="Times New Roman"/>
                <w:color w:val="FFFFFF"/>
                <w:sz w:val="20"/>
                <w:szCs w:val="20"/>
              </w:rPr>
              <w:t>Vet Control</w:t>
            </w:r>
          </w:p>
        </w:tc>
        <w:tc>
          <w:tcPr>
            <w:tcW w:w="1070" w:type="pct"/>
            <w:shd w:val="clear" w:color="auto" w:fill="0070C0"/>
            <w:hideMark/>
          </w:tcPr>
          <w:p w14:paraId="75261420"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FFFFFF"/>
                <w:sz w:val="20"/>
                <w:szCs w:val="20"/>
              </w:rPr>
            </w:pPr>
            <w:r w:rsidRPr="00E53977">
              <w:rPr>
                <w:rFonts w:cs="Times New Roman"/>
                <w:color w:val="FFFFFF"/>
                <w:sz w:val="20"/>
                <w:szCs w:val="20"/>
              </w:rPr>
              <w:t xml:space="preserve">Actions Taken, </w:t>
            </w:r>
          </w:p>
          <w:p w14:paraId="50DF0809"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sz w:val="20"/>
                <w:szCs w:val="20"/>
              </w:rPr>
            </w:pPr>
            <w:r w:rsidRPr="00E53977">
              <w:rPr>
                <w:rFonts w:cs="Times New Roman"/>
                <w:color w:val="FFFFFF"/>
                <w:sz w:val="20"/>
                <w:szCs w:val="20"/>
              </w:rPr>
              <w:t>Phyto Control</w:t>
            </w:r>
          </w:p>
        </w:tc>
        <w:tc>
          <w:tcPr>
            <w:tcW w:w="581" w:type="pct"/>
            <w:shd w:val="clear" w:color="auto" w:fill="0070C0"/>
          </w:tcPr>
          <w:p w14:paraId="17441737"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sz w:val="20"/>
                <w:szCs w:val="20"/>
              </w:rPr>
            </w:pPr>
            <w:r w:rsidRPr="00E53977">
              <w:rPr>
                <w:rFonts w:cs="Times New Roman"/>
                <w:color w:val="FFFFFF"/>
                <w:sz w:val="20"/>
                <w:szCs w:val="20"/>
              </w:rPr>
              <w:t>Vet samples</w:t>
            </w:r>
          </w:p>
        </w:tc>
        <w:tc>
          <w:tcPr>
            <w:tcW w:w="547" w:type="pct"/>
            <w:shd w:val="clear" w:color="auto" w:fill="0070C0"/>
            <w:hideMark/>
          </w:tcPr>
          <w:p w14:paraId="2A3B5992"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sz w:val="20"/>
                <w:szCs w:val="20"/>
              </w:rPr>
            </w:pPr>
            <w:r w:rsidRPr="00E53977">
              <w:rPr>
                <w:rFonts w:cs="Times New Roman"/>
                <w:color w:val="FFFFFF"/>
                <w:sz w:val="20"/>
                <w:szCs w:val="20"/>
              </w:rPr>
              <w:t>Phyto samples</w:t>
            </w:r>
          </w:p>
        </w:tc>
        <w:tc>
          <w:tcPr>
            <w:tcW w:w="745" w:type="pct"/>
            <w:shd w:val="clear" w:color="auto" w:fill="0070C0"/>
            <w:hideMark/>
          </w:tcPr>
          <w:p w14:paraId="41E7FF8B"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sz w:val="20"/>
                <w:szCs w:val="20"/>
              </w:rPr>
            </w:pPr>
            <w:r w:rsidRPr="00E53977">
              <w:rPr>
                <w:rFonts w:cs="Times New Roman"/>
                <w:color w:val="FFFFFF"/>
                <w:sz w:val="20"/>
                <w:szCs w:val="20"/>
              </w:rPr>
              <w:t>Live GMO samples</w:t>
            </w:r>
          </w:p>
        </w:tc>
        <w:tc>
          <w:tcPr>
            <w:tcW w:w="778" w:type="pct"/>
            <w:shd w:val="clear" w:color="auto" w:fill="0070C0"/>
          </w:tcPr>
          <w:p w14:paraId="7C43589A"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sz w:val="20"/>
                <w:szCs w:val="20"/>
              </w:rPr>
            </w:pPr>
            <w:r w:rsidRPr="00E53977">
              <w:rPr>
                <w:rFonts w:cs="Times New Roman"/>
                <w:color w:val="FFFFFF"/>
                <w:sz w:val="20"/>
                <w:szCs w:val="20"/>
              </w:rPr>
              <w:t>Food GMO samples</w:t>
            </w:r>
          </w:p>
        </w:tc>
      </w:tr>
      <w:tr w:rsidR="00E9513F" w:rsidRPr="00E53977" w14:paraId="59D80285" w14:textId="77777777" w:rsidTr="004A2061">
        <w:trPr>
          <w:trHeight w:val="20"/>
        </w:trPr>
        <w:tc>
          <w:tcPr>
            <w:cnfStyle w:val="001000000000" w:firstRow="0" w:lastRow="0" w:firstColumn="1" w:lastColumn="0" w:oddVBand="0" w:evenVBand="0" w:oddHBand="0" w:evenHBand="0" w:firstRowFirstColumn="0" w:firstRowLastColumn="0" w:lastRowFirstColumn="0" w:lastRowLastColumn="0"/>
            <w:tcW w:w="337" w:type="pct"/>
            <w:noWrap/>
            <w:hideMark/>
          </w:tcPr>
          <w:p w14:paraId="3F9406DE" w14:textId="77777777" w:rsidR="00E9513F" w:rsidRPr="00E53977" w:rsidRDefault="00E9513F" w:rsidP="002771FB">
            <w:pPr>
              <w:widowControl w:val="0"/>
              <w:jc w:val="center"/>
              <w:rPr>
                <w:rFonts w:eastAsia="Times New Roman" w:cs="Times New Roman"/>
                <w:color w:val="000000"/>
                <w:sz w:val="20"/>
                <w:szCs w:val="20"/>
              </w:rPr>
            </w:pPr>
            <w:r w:rsidRPr="00E53977">
              <w:rPr>
                <w:rFonts w:eastAsia="Times New Roman" w:cs="Times New Roman"/>
                <w:color w:val="000000"/>
                <w:sz w:val="20"/>
                <w:szCs w:val="20"/>
              </w:rPr>
              <w:t>2015</w:t>
            </w:r>
          </w:p>
        </w:tc>
        <w:tc>
          <w:tcPr>
            <w:tcW w:w="942" w:type="pct"/>
            <w:noWrap/>
            <w:hideMark/>
          </w:tcPr>
          <w:p w14:paraId="2CD845D2"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53977">
              <w:rPr>
                <w:rFonts w:eastAsia="Times New Roman" w:cs="Times New Roman"/>
                <w:bCs/>
                <w:color w:val="000000"/>
                <w:sz w:val="20"/>
                <w:szCs w:val="20"/>
              </w:rPr>
              <w:t>8,266</w:t>
            </w:r>
          </w:p>
        </w:tc>
        <w:tc>
          <w:tcPr>
            <w:tcW w:w="1070" w:type="pct"/>
            <w:noWrap/>
            <w:hideMark/>
          </w:tcPr>
          <w:p w14:paraId="7FFB5497"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53977">
              <w:rPr>
                <w:rFonts w:eastAsia="Times New Roman" w:cs="Times New Roman"/>
                <w:bCs/>
                <w:color w:val="000000"/>
                <w:sz w:val="20"/>
                <w:szCs w:val="20"/>
              </w:rPr>
              <w:t>13,197</w:t>
            </w:r>
          </w:p>
        </w:tc>
        <w:tc>
          <w:tcPr>
            <w:tcW w:w="581" w:type="pct"/>
          </w:tcPr>
          <w:p w14:paraId="67E913BF"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53977">
              <w:rPr>
                <w:rFonts w:eastAsia="Times New Roman" w:cs="Times New Roman"/>
                <w:bCs/>
                <w:color w:val="000000"/>
                <w:sz w:val="20"/>
                <w:szCs w:val="20"/>
              </w:rPr>
              <w:t>1,464</w:t>
            </w:r>
          </w:p>
        </w:tc>
        <w:tc>
          <w:tcPr>
            <w:tcW w:w="547" w:type="pct"/>
            <w:hideMark/>
          </w:tcPr>
          <w:p w14:paraId="73A77FFE"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53977">
              <w:rPr>
                <w:rFonts w:eastAsia="Times New Roman" w:cs="Times New Roman"/>
                <w:bCs/>
                <w:color w:val="000000"/>
                <w:sz w:val="20"/>
                <w:szCs w:val="20"/>
              </w:rPr>
              <w:t>826</w:t>
            </w:r>
          </w:p>
        </w:tc>
        <w:tc>
          <w:tcPr>
            <w:tcW w:w="745" w:type="pct"/>
            <w:hideMark/>
          </w:tcPr>
          <w:p w14:paraId="7BE62BE8"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53977">
              <w:rPr>
                <w:rFonts w:eastAsia="Times New Roman" w:cs="Times New Roman"/>
                <w:bCs/>
                <w:color w:val="000000"/>
                <w:sz w:val="20"/>
                <w:szCs w:val="20"/>
              </w:rPr>
              <w:t>610</w:t>
            </w:r>
          </w:p>
        </w:tc>
        <w:tc>
          <w:tcPr>
            <w:tcW w:w="778" w:type="pct"/>
          </w:tcPr>
          <w:p w14:paraId="482F4E34"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E53977">
              <w:rPr>
                <w:rFonts w:eastAsia="Times New Roman" w:cs="Times New Roman"/>
                <w:bCs/>
                <w:color w:val="000000"/>
                <w:sz w:val="20"/>
                <w:szCs w:val="20"/>
              </w:rPr>
              <w:t>363</w:t>
            </w:r>
          </w:p>
        </w:tc>
      </w:tr>
      <w:tr w:rsidR="00E9513F" w:rsidRPr="00E53977" w14:paraId="603076DF" w14:textId="77777777" w:rsidTr="004A2061">
        <w:trPr>
          <w:trHeight w:val="20"/>
        </w:trPr>
        <w:tc>
          <w:tcPr>
            <w:cnfStyle w:val="001000000000" w:firstRow="0" w:lastRow="0" w:firstColumn="1" w:lastColumn="0" w:oddVBand="0" w:evenVBand="0" w:oddHBand="0" w:evenHBand="0" w:firstRowFirstColumn="0" w:firstRowLastColumn="0" w:lastRowFirstColumn="0" w:lastRowLastColumn="0"/>
            <w:tcW w:w="337" w:type="pct"/>
            <w:noWrap/>
            <w:hideMark/>
          </w:tcPr>
          <w:p w14:paraId="4EE59C28" w14:textId="77777777" w:rsidR="00E9513F" w:rsidRPr="00E53977" w:rsidRDefault="00E9513F" w:rsidP="002771FB">
            <w:pPr>
              <w:widowControl w:val="0"/>
              <w:jc w:val="center"/>
              <w:rPr>
                <w:rFonts w:eastAsia="Times New Roman" w:cs="Times New Roman"/>
                <w:b w:val="0"/>
                <w:bCs w:val="0"/>
                <w:color w:val="000000"/>
                <w:sz w:val="20"/>
                <w:szCs w:val="20"/>
              </w:rPr>
            </w:pPr>
            <w:r w:rsidRPr="00E53977">
              <w:rPr>
                <w:rFonts w:eastAsia="Times New Roman" w:cs="Times New Roman"/>
                <w:color w:val="000000"/>
                <w:sz w:val="20"/>
                <w:szCs w:val="20"/>
              </w:rPr>
              <w:t>2016</w:t>
            </w:r>
          </w:p>
        </w:tc>
        <w:tc>
          <w:tcPr>
            <w:tcW w:w="942" w:type="pct"/>
            <w:noWrap/>
            <w:hideMark/>
          </w:tcPr>
          <w:p w14:paraId="59A47D53"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8,712</w:t>
            </w:r>
          </w:p>
        </w:tc>
        <w:tc>
          <w:tcPr>
            <w:tcW w:w="1070" w:type="pct"/>
            <w:noWrap/>
            <w:hideMark/>
          </w:tcPr>
          <w:p w14:paraId="1668CE58"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14,835</w:t>
            </w:r>
          </w:p>
        </w:tc>
        <w:tc>
          <w:tcPr>
            <w:tcW w:w="581" w:type="pct"/>
            <w:noWrap/>
          </w:tcPr>
          <w:p w14:paraId="4DC0BCBE"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1,917</w:t>
            </w:r>
          </w:p>
        </w:tc>
        <w:tc>
          <w:tcPr>
            <w:tcW w:w="547" w:type="pct"/>
            <w:noWrap/>
            <w:hideMark/>
          </w:tcPr>
          <w:p w14:paraId="76159665"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1479</w:t>
            </w:r>
          </w:p>
        </w:tc>
        <w:tc>
          <w:tcPr>
            <w:tcW w:w="745" w:type="pct"/>
            <w:noWrap/>
            <w:hideMark/>
          </w:tcPr>
          <w:p w14:paraId="35378492"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625</w:t>
            </w:r>
          </w:p>
        </w:tc>
        <w:tc>
          <w:tcPr>
            <w:tcW w:w="778" w:type="pct"/>
            <w:noWrap/>
          </w:tcPr>
          <w:p w14:paraId="2DE5B3D3"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565</w:t>
            </w:r>
          </w:p>
        </w:tc>
      </w:tr>
      <w:tr w:rsidR="00E9513F" w:rsidRPr="00E53977" w14:paraId="7B3007EA" w14:textId="77777777" w:rsidTr="004A2061">
        <w:trPr>
          <w:trHeight w:val="20"/>
        </w:trPr>
        <w:tc>
          <w:tcPr>
            <w:cnfStyle w:val="001000000000" w:firstRow="0" w:lastRow="0" w:firstColumn="1" w:lastColumn="0" w:oddVBand="0" w:evenVBand="0" w:oddHBand="0" w:evenHBand="0" w:firstRowFirstColumn="0" w:firstRowLastColumn="0" w:lastRowFirstColumn="0" w:lastRowLastColumn="0"/>
            <w:tcW w:w="337" w:type="pct"/>
            <w:noWrap/>
          </w:tcPr>
          <w:p w14:paraId="3E4D4551" w14:textId="77777777" w:rsidR="00E9513F" w:rsidRPr="00E53977" w:rsidRDefault="00E9513F" w:rsidP="002771FB">
            <w:pPr>
              <w:widowControl w:val="0"/>
              <w:jc w:val="center"/>
              <w:rPr>
                <w:rFonts w:eastAsia="Times New Roman" w:cs="Times New Roman"/>
                <w:bCs w:val="0"/>
                <w:color w:val="000000"/>
                <w:sz w:val="20"/>
                <w:szCs w:val="20"/>
              </w:rPr>
            </w:pPr>
            <w:r w:rsidRPr="00E53977">
              <w:rPr>
                <w:rFonts w:eastAsia="Times New Roman" w:cs="Times New Roman"/>
                <w:bCs w:val="0"/>
                <w:color w:val="000000"/>
                <w:sz w:val="20"/>
                <w:szCs w:val="20"/>
              </w:rPr>
              <w:t>2017</w:t>
            </w:r>
          </w:p>
        </w:tc>
        <w:tc>
          <w:tcPr>
            <w:tcW w:w="942" w:type="pct"/>
            <w:noWrap/>
          </w:tcPr>
          <w:p w14:paraId="35691B61"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9,682</w:t>
            </w:r>
          </w:p>
        </w:tc>
        <w:tc>
          <w:tcPr>
            <w:tcW w:w="1070" w:type="pct"/>
            <w:noWrap/>
          </w:tcPr>
          <w:p w14:paraId="1C4C21BF"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15,323</w:t>
            </w:r>
          </w:p>
        </w:tc>
        <w:tc>
          <w:tcPr>
            <w:tcW w:w="581" w:type="pct"/>
            <w:noWrap/>
          </w:tcPr>
          <w:p w14:paraId="2FB75722"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2,484</w:t>
            </w:r>
          </w:p>
        </w:tc>
        <w:tc>
          <w:tcPr>
            <w:tcW w:w="547" w:type="pct"/>
            <w:noWrap/>
          </w:tcPr>
          <w:p w14:paraId="2796766A"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1,893</w:t>
            </w:r>
          </w:p>
        </w:tc>
        <w:tc>
          <w:tcPr>
            <w:tcW w:w="745" w:type="pct"/>
            <w:noWrap/>
          </w:tcPr>
          <w:p w14:paraId="524989C9"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1,506</w:t>
            </w:r>
          </w:p>
        </w:tc>
        <w:tc>
          <w:tcPr>
            <w:tcW w:w="778" w:type="pct"/>
            <w:noWrap/>
          </w:tcPr>
          <w:p w14:paraId="6A37D695"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689</w:t>
            </w:r>
          </w:p>
        </w:tc>
      </w:tr>
    </w:tbl>
    <w:p w14:paraId="7CAC8A86" w14:textId="243A712F" w:rsidR="00E9513F" w:rsidRPr="00E53977" w:rsidRDefault="00E9513F" w:rsidP="002771FB">
      <w:pPr>
        <w:widowControl w:val="0"/>
        <w:spacing w:line="240" w:lineRule="auto"/>
        <w:rPr>
          <w:rFonts w:cs="Times New Roman"/>
          <w:szCs w:val="24"/>
        </w:rPr>
      </w:pPr>
      <w:r w:rsidRPr="00E53977">
        <w:rPr>
          <w:rFonts w:cs="Times New Roman"/>
          <w:szCs w:val="24"/>
        </w:rPr>
        <w:br/>
      </w:r>
    </w:p>
    <w:p w14:paraId="024B33E4" w14:textId="2D13F641" w:rsidR="00E9513F" w:rsidRPr="00E53977" w:rsidRDefault="00E9513F" w:rsidP="002771FB">
      <w:pPr>
        <w:widowControl w:val="0"/>
        <w:rPr>
          <w:b/>
        </w:rPr>
      </w:pPr>
      <w:r w:rsidRPr="00E53977">
        <w:rPr>
          <w:b/>
        </w:rPr>
        <w:t>Veterinary and Phytosanitary Violations Detected, 2015-17</w:t>
      </w:r>
    </w:p>
    <w:tbl>
      <w:tblPr>
        <w:tblStyle w:val="Vaalearuudukkotaulukko11"/>
        <w:tblW w:w="5000" w:type="pct"/>
        <w:tblLook w:val="04A0" w:firstRow="1" w:lastRow="0" w:firstColumn="1" w:lastColumn="0" w:noHBand="0" w:noVBand="1"/>
      </w:tblPr>
      <w:tblGrid>
        <w:gridCol w:w="879"/>
        <w:gridCol w:w="2761"/>
        <w:gridCol w:w="2806"/>
        <w:gridCol w:w="2570"/>
      </w:tblGrid>
      <w:tr w:rsidR="00E9513F" w:rsidRPr="00E53977" w14:paraId="1766F9D9" w14:textId="77777777" w:rsidTr="004A206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8" w:type="pct"/>
            <w:shd w:val="clear" w:color="auto" w:fill="0070C0"/>
            <w:noWrap/>
            <w:hideMark/>
          </w:tcPr>
          <w:p w14:paraId="1A125306" w14:textId="77777777" w:rsidR="00E9513F" w:rsidRPr="00E53977" w:rsidRDefault="00E9513F" w:rsidP="002771FB">
            <w:pPr>
              <w:widowControl w:val="0"/>
              <w:jc w:val="center"/>
              <w:rPr>
                <w:rFonts w:eastAsia="Times New Roman" w:cs="Times New Roman"/>
                <w:b w:val="0"/>
                <w:bCs w:val="0"/>
                <w:color w:val="FFFFFF" w:themeColor="background1"/>
                <w:sz w:val="20"/>
                <w:szCs w:val="20"/>
              </w:rPr>
            </w:pPr>
            <w:r w:rsidRPr="00E53977">
              <w:rPr>
                <w:rFonts w:cs="Times New Roman"/>
                <w:color w:val="FFFFFF"/>
                <w:sz w:val="20"/>
                <w:szCs w:val="20"/>
              </w:rPr>
              <w:t>Year</w:t>
            </w:r>
          </w:p>
        </w:tc>
        <w:tc>
          <w:tcPr>
            <w:tcW w:w="1531" w:type="pct"/>
            <w:shd w:val="clear" w:color="auto" w:fill="0070C0"/>
          </w:tcPr>
          <w:p w14:paraId="4C07D291"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FFFFFF"/>
                <w:sz w:val="20"/>
                <w:szCs w:val="20"/>
              </w:rPr>
            </w:pPr>
            <w:r w:rsidRPr="00E53977">
              <w:rPr>
                <w:rFonts w:cs="Times New Roman"/>
                <w:color w:val="FFFFFF"/>
                <w:sz w:val="20"/>
                <w:szCs w:val="20"/>
              </w:rPr>
              <w:t xml:space="preserve">Veterinary – </w:t>
            </w:r>
          </w:p>
          <w:p w14:paraId="6325D6CC"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sz w:val="20"/>
                <w:szCs w:val="20"/>
              </w:rPr>
            </w:pPr>
            <w:r w:rsidRPr="00E53977">
              <w:rPr>
                <w:rFonts w:cs="Times New Roman"/>
                <w:color w:val="FFFFFF"/>
                <w:sz w:val="20"/>
                <w:szCs w:val="20"/>
              </w:rPr>
              <w:t>discovered violations</w:t>
            </w:r>
          </w:p>
        </w:tc>
        <w:tc>
          <w:tcPr>
            <w:tcW w:w="1556" w:type="pct"/>
            <w:shd w:val="clear" w:color="auto" w:fill="0070C0"/>
          </w:tcPr>
          <w:p w14:paraId="3DAE2CF2"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FFFFFF"/>
                <w:sz w:val="20"/>
                <w:szCs w:val="20"/>
              </w:rPr>
            </w:pPr>
            <w:r w:rsidRPr="00E53977">
              <w:rPr>
                <w:rFonts w:cs="Times New Roman"/>
                <w:color w:val="FFFFFF"/>
                <w:sz w:val="20"/>
                <w:szCs w:val="20"/>
              </w:rPr>
              <w:t xml:space="preserve">Phytosanitary – </w:t>
            </w:r>
          </w:p>
          <w:p w14:paraId="5DFF1BC6"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sz w:val="20"/>
                <w:szCs w:val="20"/>
              </w:rPr>
            </w:pPr>
            <w:r w:rsidRPr="00E53977">
              <w:rPr>
                <w:rFonts w:cs="Times New Roman"/>
                <w:color w:val="FFFFFF"/>
                <w:sz w:val="20"/>
                <w:szCs w:val="20"/>
              </w:rPr>
              <w:t>Discovered violations</w:t>
            </w:r>
          </w:p>
        </w:tc>
        <w:tc>
          <w:tcPr>
            <w:tcW w:w="1425" w:type="pct"/>
            <w:shd w:val="clear" w:color="auto" w:fill="0070C0"/>
            <w:hideMark/>
          </w:tcPr>
          <w:p w14:paraId="1ED96F4C"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FFFFFF"/>
                <w:sz w:val="20"/>
                <w:szCs w:val="20"/>
              </w:rPr>
            </w:pPr>
            <w:r w:rsidRPr="00E53977">
              <w:rPr>
                <w:rFonts w:cs="Times New Roman"/>
                <w:color w:val="FFFFFF"/>
                <w:sz w:val="20"/>
                <w:szCs w:val="20"/>
              </w:rPr>
              <w:t xml:space="preserve">GMO confirmed in </w:t>
            </w:r>
          </w:p>
          <w:p w14:paraId="168F6D76" w14:textId="77777777" w:rsidR="00E9513F" w:rsidRPr="00E53977" w:rsidRDefault="00E9513F" w:rsidP="002771FB">
            <w:pPr>
              <w:widowControl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sz w:val="20"/>
                <w:szCs w:val="20"/>
              </w:rPr>
            </w:pPr>
            <w:r w:rsidRPr="00E53977">
              <w:rPr>
                <w:rFonts w:cs="Times New Roman"/>
                <w:color w:val="FFFFFF"/>
                <w:sz w:val="20"/>
                <w:szCs w:val="20"/>
              </w:rPr>
              <w:t>Food/Animal Feed</w:t>
            </w:r>
          </w:p>
        </w:tc>
      </w:tr>
      <w:tr w:rsidR="00E9513F" w:rsidRPr="00E53977" w14:paraId="2E1A0B59" w14:textId="77777777" w:rsidTr="004A2061">
        <w:trPr>
          <w:trHeight w:val="20"/>
        </w:trPr>
        <w:tc>
          <w:tcPr>
            <w:cnfStyle w:val="001000000000" w:firstRow="0" w:lastRow="0" w:firstColumn="1" w:lastColumn="0" w:oddVBand="0" w:evenVBand="0" w:oddHBand="0" w:evenHBand="0" w:firstRowFirstColumn="0" w:firstRowLastColumn="0" w:lastRowFirstColumn="0" w:lastRowLastColumn="0"/>
            <w:tcW w:w="488" w:type="pct"/>
            <w:noWrap/>
            <w:hideMark/>
          </w:tcPr>
          <w:p w14:paraId="648BB33A" w14:textId="77777777" w:rsidR="00E9513F" w:rsidRPr="00E53977" w:rsidRDefault="00E9513F" w:rsidP="002771FB">
            <w:pPr>
              <w:widowControl w:val="0"/>
              <w:jc w:val="center"/>
              <w:rPr>
                <w:rFonts w:eastAsia="Times New Roman" w:cs="Times New Roman"/>
                <w:b w:val="0"/>
                <w:bCs w:val="0"/>
                <w:color w:val="000000"/>
                <w:sz w:val="20"/>
                <w:szCs w:val="20"/>
              </w:rPr>
            </w:pPr>
            <w:r w:rsidRPr="00E53977">
              <w:rPr>
                <w:rFonts w:eastAsia="Times New Roman" w:cs="Times New Roman"/>
                <w:color w:val="000000"/>
                <w:sz w:val="20"/>
                <w:szCs w:val="20"/>
              </w:rPr>
              <w:t>2015</w:t>
            </w:r>
          </w:p>
        </w:tc>
        <w:tc>
          <w:tcPr>
            <w:tcW w:w="1531" w:type="pct"/>
            <w:noWrap/>
          </w:tcPr>
          <w:p w14:paraId="5E679727"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sz w:val="20"/>
                <w:szCs w:val="20"/>
              </w:rPr>
              <w:t>63</w:t>
            </w:r>
          </w:p>
        </w:tc>
        <w:tc>
          <w:tcPr>
            <w:tcW w:w="1556" w:type="pct"/>
            <w:noWrap/>
          </w:tcPr>
          <w:p w14:paraId="471EA043"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sz w:val="20"/>
                <w:szCs w:val="20"/>
              </w:rPr>
              <w:t>48</w:t>
            </w:r>
          </w:p>
        </w:tc>
        <w:tc>
          <w:tcPr>
            <w:tcW w:w="1425" w:type="pct"/>
            <w:hideMark/>
          </w:tcPr>
          <w:p w14:paraId="7CF71629"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E53977">
              <w:rPr>
                <w:rFonts w:eastAsia="Times New Roman" w:cs="Times New Roman"/>
                <w:bCs/>
                <w:sz w:val="20"/>
                <w:szCs w:val="20"/>
              </w:rPr>
              <w:t>29</w:t>
            </w:r>
          </w:p>
        </w:tc>
      </w:tr>
      <w:tr w:rsidR="00E9513F" w:rsidRPr="00E53977" w14:paraId="57F6846A" w14:textId="77777777" w:rsidTr="004A2061">
        <w:trPr>
          <w:trHeight w:val="20"/>
        </w:trPr>
        <w:tc>
          <w:tcPr>
            <w:cnfStyle w:val="001000000000" w:firstRow="0" w:lastRow="0" w:firstColumn="1" w:lastColumn="0" w:oddVBand="0" w:evenVBand="0" w:oddHBand="0" w:evenHBand="0" w:firstRowFirstColumn="0" w:firstRowLastColumn="0" w:lastRowFirstColumn="0" w:lastRowLastColumn="0"/>
            <w:tcW w:w="488" w:type="pct"/>
            <w:noWrap/>
            <w:hideMark/>
          </w:tcPr>
          <w:p w14:paraId="383210E7" w14:textId="77777777" w:rsidR="00E9513F" w:rsidRPr="00E53977" w:rsidRDefault="00E9513F" w:rsidP="002771FB">
            <w:pPr>
              <w:widowControl w:val="0"/>
              <w:jc w:val="center"/>
              <w:rPr>
                <w:rFonts w:eastAsia="Times New Roman" w:cs="Times New Roman"/>
                <w:b w:val="0"/>
                <w:bCs w:val="0"/>
                <w:color w:val="000000"/>
                <w:sz w:val="20"/>
                <w:szCs w:val="20"/>
              </w:rPr>
            </w:pPr>
            <w:r w:rsidRPr="00E53977">
              <w:rPr>
                <w:rFonts w:eastAsia="Times New Roman" w:cs="Times New Roman"/>
                <w:color w:val="000000"/>
                <w:sz w:val="20"/>
                <w:szCs w:val="20"/>
              </w:rPr>
              <w:t>2016</w:t>
            </w:r>
          </w:p>
        </w:tc>
        <w:tc>
          <w:tcPr>
            <w:tcW w:w="1531" w:type="pct"/>
            <w:noWrap/>
          </w:tcPr>
          <w:p w14:paraId="73BF30E7"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111</w:t>
            </w:r>
          </w:p>
        </w:tc>
        <w:tc>
          <w:tcPr>
            <w:tcW w:w="1556" w:type="pct"/>
            <w:noWrap/>
          </w:tcPr>
          <w:p w14:paraId="08C3F699"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55</w:t>
            </w:r>
          </w:p>
        </w:tc>
        <w:tc>
          <w:tcPr>
            <w:tcW w:w="1425" w:type="pct"/>
            <w:noWrap/>
            <w:hideMark/>
          </w:tcPr>
          <w:p w14:paraId="60D7F59D"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40</w:t>
            </w:r>
          </w:p>
        </w:tc>
      </w:tr>
      <w:tr w:rsidR="00E9513F" w:rsidRPr="00E53977" w14:paraId="02BB8D41" w14:textId="77777777" w:rsidTr="004A2061">
        <w:trPr>
          <w:trHeight w:val="20"/>
        </w:trPr>
        <w:tc>
          <w:tcPr>
            <w:cnfStyle w:val="001000000000" w:firstRow="0" w:lastRow="0" w:firstColumn="1" w:lastColumn="0" w:oddVBand="0" w:evenVBand="0" w:oddHBand="0" w:evenHBand="0" w:firstRowFirstColumn="0" w:firstRowLastColumn="0" w:lastRowFirstColumn="0" w:lastRowLastColumn="0"/>
            <w:tcW w:w="488" w:type="pct"/>
            <w:noWrap/>
          </w:tcPr>
          <w:p w14:paraId="2742C46E" w14:textId="77777777" w:rsidR="00E9513F" w:rsidRPr="00E53977" w:rsidRDefault="00E9513F" w:rsidP="002771FB">
            <w:pPr>
              <w:widowControl w:val="0"/>
              <w:jc w:val="center"/>
              <w:rPr>
                <w:rFonts w:eastAsia="Times New Roman" w:cs="Times New Roman"/>
                <w:bCs w:val="0"/>
                <w:color w:val="000000"/>
                <w:sz w:val="20"/>
                <w:szCs w:val="20"/>
              </w:rPr>
            </w:pPr>
            <w:r w:rsidRPr="00E53977">
              <w:rPr>
                <w:rFonts w:eastAsia="Times New Roman" w:cs="Times New Roman"/>
                <w:bCs w:val="0"/>
                <w:color w:val="000000"/>
                <w:sz w:val="20"/>
                <w:szCs w:val="20"/>
              </w:rPr>
              <w:t>2017</w:t>
            </w:r>
          </w:p>
        </w:tc>
        <w:tc>
          <w:tcPr>
            <w:tcW w:w="1531" w:type="pct"/>
            <w:noWrap/>
          </w:tcPr>
          <w:p w14:paraId="47767558"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114</w:t>
            </w:r>
          </w:p>
        </w:tc>
        <w:tc>
          <w:tcPr>
            <w:tcW w:w="1556" w:type="pct"/>
            <w:noWrap/>
          </w:tcPr>
          <w:p w14:paraId="26809274"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62</w:t>
            </w:r>
          </w:p>
        </w:tc>
        <w:tc>
          <w:tcPr>
            <w:tcW w:w="1425" w:type="pct"/>
            <w:noWrap/>
          </w:tcPr>
          <w:p w14:paraId="2D7F2BAE" w14:textId="77777777" w:rsidR="00E9513F" w:rsidRPr="00E53977" w:rsidRDefault="00E9513F" w:rsidP="002771FB">
            <w:pPr>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sidRPr="00E53977">
              <w:rPr>
                <w:rFonts w:eastAsia="Times New Roman" w:cs="Times New Roman"/>
                <w:bCs/>
                <w:color w:val="000000"/>
                <w:sz w:val="20"/>
                <w:szCs w:val="20"/>
              </w:rPr>
              <w:t>47</w:t>
            </w:r>
          </w:p>
        </w:tc>
      </w:tr>
    </w:tbl>
    <w:p w14:paraId="70269E53" w14:textId="77777777" w:rsidR="00E9513F" w:rsidRPr="00E53977" w:rsidRDefault="00E9513F" w:rsidP="002771FB">
      <w:pPr>
        <w:pStyle w:val="NoSpacing"/>
        <w:widowControl w:val="0"/>
      </w:pPr>
    </w:p>
    <w:p w14:paraId="62676CFE" w14:textId="77777777" w:rsidR="00442ABD" w:rsidRPr="00E53977" w:rsidRDefault="00442ABD" w:rsidP="002771FB">
      <w:pPr>
        <w:widowControl w:val="0"/>
        <w:jc w:val="left"/>
        <w:rPr>
          <w:rFonts w:eastAsiaTheme="majorEastAsia" w:cstheme="minorHAnsi"/>
          <w:b/>
          <w:caps/>
          <w:color w:val="0070C0"/>
          <w:sz w:val="28"/>
          <w:szCs w:val="32"/>
        </w:rPr>
      </w:pPr>
      <w:r w:rsidRPr="00E53977">
        <w:br w:type="page"/>
      </w:r>
    </w:p>
    <w:p w14:paraId="3CADE55E" w14:textId="1FE00778" w:rsidR="00497BAA" w:rsidRPr="00E53977" w:rsidRDefault="00497BAA" w:rsidP="002771FB">
      <w:pPr>
        <w:pStyle w:val="Heading1"/>
        <w:widowControl w:val="0"/>
      </w:pPr>
      <w:bookmarkStart w:id="105" w:name="_Toc520906393"/>
      <w:r w:rsidRPr="00E53977">
        <w:rPr>
          <w:caps w:val="0"/>
        </w:rPr>
        <w:lastRenderedPageBreak/>
        <w:t>ANNEX 8</w:t>
      </w:r>
      <w:r w:rsidRPr="00E53977">
        <w:t>: SUMMARIES OF FOCUS GROUP DISCUSSIONS</w:t>
      </w:r>
      <w:bookmarkEnd w:id="105"/>
    </w:p>
    <w:p w14:paraId="76451B97" w14:textId="77777777" w:rsidR="00497BAA" w:rsidRPr="00E53977" w:rsidRDefault="00497BAA" w:rsidP="002771FB">
      <w:pPr>
        <w:widowControl w:val="0"/>
        <w:spacing w:line="240" w:lineRule="auto"/>
        <w:rPr>
          <w:b/>
        </w:rPr>
      </w:pPr>
      <w:r w:rsidRPr="00E53977">
        <w:rPr>
          <w:b/>
        </w:rPr>
        <w:t xml:space="preserve">Urban Consumers and Control Groups </w:t>
      </w:r>
    </w:p>
    <w:p w14:paraId="544064E4" w14:textId="77777777" w:rsidR="00497BAA" w:rsidRPr="00E53977" w:rsidRDefault="00497BAA" w:rsidP="002771FB">
      <w:pPr>
        <w:widowControl w:val="0"/>
        <w:spacing w:line="240" w:lineRule="auto"/>
      </w:pPr>
      <w:r w:rsidRPr="00E53977">
        <w:t xml:space="preserve">Only the participants that approached the Hotline were aware of the NFA’s work and, particularly, the existence of the Hotline. Additionally, the participants indicated that product labels are written in too small of a font to read easily, despite the fact that labelling provides a sense of safety. </w:t>
      </w:r>
    </w:p>
    <w:p w14:paraId="456B748A" w14:textId="77777777" w:rsidR="00497BAA" w:rsidRPr="00E53977" w:rsidRDefault="00497BAA" w:rsidP="002771FB">
      <w:pPr>
        <w:widowControl w:val="0"/>
        <w:spacing w:line="240" w:lineRule="auto"/>
      </w:pPr>
      <w:r w:rsidRPr="00E53977">
        <w:t>Notably, consumers requested that primary production should be included within NFA’s control prior to 2020.</w:t>
      </w:r>
    </w:p>
    <w:p w14:paraId="4662B9AF" w14:textId="77777777" w:rsidR="00497BAA" w:rsidRPr="00E53977" w:rsidRDefault="00497BAA" w:rsidP="002771FB">
      <w:pPr>
        <w:widowControl w:val="0"/>
        <w:spacing w:line="240" w:lineRule="auto"/>
      </w:pPr>
      <w:r w:rsidRPr="00E53977">
        <w:t>Some of the participants have described several cases of food safety violations, most of which were street vendors and open markets, in which vendors were serving meat which was previously lying on the street. Participants stated that the government could be able to control street vendors and close their operations if they are dangerous for consumers.</w:t>
      </w:r>
    </w:p>
    <w:p w14:paraId="547A4976" w14:textId="77777777" w:rsidR="00497BAA" w:rsidRPr="00E53977" w:rsidRDefault="00497BAA" w:rsidP="002771FB">
      <w:pPr>
        <w:widowControl w:val="0"/>
        <w:spacing w:line="240" w:lineRule="auto"/>
      </w:pPr>
      <w:r w:rsidRPr="00E53977">
        <w:t xml:space="preserve">While discussing potential options for interventions participants noted that without public’s contribution, the GoG will not be able to achieve its goals. Participants asked for much greater participation of CSOs to educate general public on food safety issues. Additionally, the Public Broadcaster could also take a leading role in broadcasting topics related to these issues. </w:t>
      </w:r>
    </w:p>
    <w:p w14:paraId="72611A5E" w14:textId="77777777" w:rsidR="00497BAA" w:rsidRPr="00E53977" w:rsidRDefault="00497BAA" w:rsidP="002771FB">
      <w:pPr>
        <w:widowControl w:val="0"/>
        <w:spacing w:line="240" w:lineRule="auto"/>
      </w:pPr>
      <w:r w:rsidRPr="00E53977">
        <w:t xml:space="preserve">Similar to the 2016 assessment, general awareness of the NFA hotline and food safety-related issues was very low among participants. Despite the fact that the NFA has a website and Facebook page, younger participants who are users of social media were not aware of the NFA’s public outreach activities at all. </w:t>
      </w:r>
    </w:p>
    <w:p w14:paraId="123D7493" w14:textId="77777777" w:rsidR="00497BAA" w:rsidRPr="00E53977" w:rsidRDefault="00497BAA" w:rsidP="002771FB">
      <w:pPr>
        <w:widowControl w:val="0"/>
        <w:spacing w:line="240" w:lineRule="auto"/>
      </w:pPr>
      <w:r w:rsidRPr="00E53977">
        <w:t>Participants also suggested that FBOs found guilty of causing foodborne illnesses should be penalized with higher fines.</w:t>
      </w:r>
    </w:p>
    <w:p w14:paraId="5AADD895" w14:textId="77777777" w:rsidR="00497BAA" w:rsidRPr="00E53977" w:rsidRDefault="00497BAA" w:rsidP="002771FB">
      <w:pPr>
        <w:widowControl w:val="0"/>
        <w:spacing w:line="240" w:lineRule="auto"/>
      </w:pPr>
      <w:r w:rsidRPr="00E53977">
        <w:rPr>
          <w:bCs/>
          <w:i/>
        </w:rPr>
        <w:t>Recommendations of the consumer groups:</w:t>
      </w:r>
      <w:r w:rsidRPr="00E53977">
        <w:t xml:space="preserve"> </w:t>
      </w:r>
    </w:p>
    <w:p w14:paraId="5A5ABA46" w14:textId="77777777" w:rsidR="00497BAA" w:rsidRPr="00E53977" w:rsidRDefault="00497BAA" w:rsidP="002771FB">
      <w:pPr>
        <w:pStyle w:val="List1"/>
      </w:pPr>
      <w:r w:rsidRPr="00E53977">
        <w:t>MEPA and the NFA could create an interactive public outreach campaign (i.e., in addition to standard website and Facebook page, it was recommended to discuss food safety issues during talk shows with high ratings, dedicate a certain time on Public Broadcaster to cover these issues, and help to educate general consumers and increase public awareness).</w:t>
      </w:r>
    </w:p>
    <w:p w14:paraId="65A8E9B7" w14:textId="77777777" w:rsidR="00497BAA" w:rsidRPr="00E53977" w:rsidRDefault="00497BAA" w:rsidP="002771FB">
      <w:pPr>
        <w:pStyle w:val="List1"/>
      </w:pPr>
      <w:r w:rsidRPr="00E53977">
        <w:t xml:space="preserve">The NFA could cooperate with the Ministry of Education and include food safety lesson in schools (raise your consumer). </w:t>
      </w:r>
    </w:p>
    <w:p w14:paraId="1C1B0CF7" w14:textId="77777777" w:rsidR="00497BAA" w:rsidRPr="00E53977" w:rsidRDefault="00497BAA" w:rsidP="002771FB">
      <w:pPr>
        <w:pStyle w:val="List1"/>
      </w:pPr>
      <w:r w:rsidRPr="00E53977">
        <w:t>The NFA could engage other civic entities in its public outreach campaign, to create a nationwide campaign and change consumer attitudes, especially those that find that it is ok to buy raw poultry or meat from street vendor (often that meat is laying on the ground).</w:t>
      </w:r>
    </w:p>
    <w:p w14:paraId="54CD2065" w14:textId="77777777" w:rsidR="00497BAA" w:rsidRPr="00E53977" w:rsidRDefault="00497BAA" w:rsidP="002771FB">
      <w:pPr>
        <w:pStyle w:val="List1"/>
      </w:pPr>
      <w:r w:rsidRPr="00E53977">
        <w:t>The NFA could work with consumers to involve them to ensure food safety.</w:t>
      </w:r>
    </w:p>
    <w:p w14:paraId="5C60932A" w14:textId="77777777" w:rsidR="00497BAA" w:rsidRPr="00E53977" w:rsidRDefault="00497BAA" w:rsidP="002771FB">
      <w:pPr>
        <w:widowControl w:val="0"/>
        <w:spacing w:line="240" w:lineRule="auto"/>
        <w:rPr>
          <w:b/>
          <w:szCs w:val="20"/>
        </w:rPr>
      </w:pPr>
    </w:p>
    <w:p w14:paraId="7FFA8F3E" w14:textId="77777777" w:rsidR="00497BAA" w:rsidRPr="00E53977" w:rsidRDefault="00497BAA" w:rsidP="002771FB">
      <w:pPr>
        <w:widowControl w:val="0"/>
        <w:spacing w:line="240" w:lineRule="auto"/>
        <w:rPr>
          <w:b/>
          <w:szCs w:val="20"/>
        </w:rPr>
      </w:pPr>
      <w:r w:rsidRPr="00E53977">
        <w:rPr>
          <w:b/>
          <w:szCs w:val="20"/>
        </w:rPr>
        <w:t>Food Business Operators</w:t>
      </w:r>
    </w:p>
    <w:p w14:paraId="4A562752" w14:textId="77777777" w:rsidR="00497BAA" w:rsidRPr="00E53977" w:rsidRDefault="00497BAA" w:rsidP="002771FB">
      <w:pPr>
        <w:widowControl w:val="0"/>
        <w:spacing w:line="240" w:lineRule="auto"/>
        <w:rPr>
          <w:i/>
        </w:rPr>
      </w:pPr>
      <w:r w:rsidRPr="00E53977">
        <w:t xml:space="preserve">The participants had quite different levels of knowledge on food safety and used this meeting as an opportunity to share experience. One of the participants stated that she got a certificate from a provider of food safety training as it was NFA’s requirement to prove that FBO staff is aware of food safety principles. As she described, it was a one-day training on food safety related issues for FBO managers and chiefs. Other FBO participants were not aware of this requirement, after some discussions all of them decided to go ahead and get this certificate just in case. This shows that the information on NFA requirement are not spread evenly. </w:t>
      </w:r>
    </w:p>
    <w:p w14:paraId="662F60E9" w14:textId="77777777" w:rsidR="00497BAA" w:rsidRPr="00E53977" w:rsidRDefault="00497BAA" w:rsidP="002771FB">
      <w:pPr>
        <w:widowControl w:val="0"/>
        <w:spacing w:line="240" w:lineRule="auto"/>
      </w:pPr>
      <w:r w:rsidRPr="00E53977">
        <w:t xml:space="preserve">Generally, FBOs were supportive of the regulations; however, they would prefer the NFA to have homogeneous approach in its operations, i.e. tread everybody same way, big or smaller </w:t>
      </w:r>
      <w:r w:rsidRPr="00E53977">
        <w:lastRenderedPageBreak/>
        <w:t xml:space="preserve">companies. The participants stated that often NFA representatives have different approaches and are not aware of the regulations. Also, some participants expressed their opinion that the NFA was more active and efficient in 2016. </w:t>
      </w:r>
    </w:p>
    <w:p w14:paraId="42A5A89B" w14:textId="77777777" w:rsidR="00497BAA" w:rsidRPr="00E53977" w:rsidRDefault="00497BAA" w:rsidP="002771FB">
      <w:pPr>
        <w:widowControl w:val="0"/>
        <w:spacing w:line="240" w:lineRule="auto"/>
      </w:pPr>
      <w:r w:rsidRPr="00E53977">
        <w:t>One of the main criticisms was that registered FBOs are not informed on changes and amendments in the regulations, and there is much less discussion on upcoming changes than previously. Another criticism was that the NFA does not have an adequate warning system to inform FBOs about zoonotic disease outbreaks. Additionally, registered FBOs are very concerned about unfair competition from unregistered FBOs.</w:t>
      </w:r>
    </w:p>
    <w:p w14:paraId="6842139B" w14:textId="77777777" w:rsidR="00497BAA" w:rsidRPr="00E53977" w:rsidRDefault="00497BAA" w:rsidP="002771FB">
      <w:pPr>
        <w:widowControl w:val="0"/>
        <w:spacing w:line="240" w:lineRule="auto"/>
      </w:pPr>
      <w:r w:rsidRPr="00E53977">
        <w:t>Some of the participants complained that the NFA’s website is not user friendly, and it is difficult to find required information. Moreover, there were cases when FBOs approached NFA and requested specific information but never received feedback.</w:t>
      </w:r>
    </w:p>
    <w:p w14:paraId="49F6FE38" w14:textId="77777777" w:rsidR="00497BAA" w:rsidRPr="00E53977" w:rsidRDefault="00497BAA" w:rsidP="002771FB">
      <w:pPr>
        <w:widowControl w:val="0"/>
        <w:spacing w:line="240" w:lineRule="auto"/>
        <w:rPr>
          <w:i/>
          <w:szCs w:val="20"/>
        </w:rPr>
      </w:pPr>
      <w:r w:rsidRPr="00E53977">
        <w:rPr>
          <w:i/>
          <w:szCs w:val="20"/>
        </w:rPr>
        <w:t xml:space="preserve">Recommendations of the FBO groups: </w:t>
      </w:r>
    </w:p>
    <w:p w14:paraId="23838D2D" w14:textId="77777777" w:rsidR="00497BAA" w:rsidRPr="00E53977" w:rsidRDefault="00497BAA" w:rsidP="002771FB">
      <w:pPr>
        <w:pStyle w:val="List1"/>
        <w:rPr>
          <w:rFonts w:ascii="Sylfaen" w:hAnsi="Sylfaen"/>
        </w:rPr>
      </w:pPr>
      <w:r w:rsidRPr="00E53977">
        <w:t>Inform FBOs on upcoming or current changes via emails and phones that are available in the NFA’s database.</w:t>
      </w:r>
    </w:p>
    <w:p w14:paraId="08CBC13B" w14:textId="77777777" w:rsidR="00497BAA" w:rsidRPr="00E53977" w:rsidRDefault="00497BAA" w:rsidP="002771FB">
      <w:pPr>
        <w:pStyle w:val="List1"/>
        <w:rPr>
          <w:rFonts w:ascii="Sylfaen" w:hAnsi="Sylfaen"/>
        </w:rPr>
      </w:pPr>
      <w:r w:rsidRPr="00E53977">
        <w:t>Treat all operators evenly and make sure that street vendors or smaller operators do not get a preferential treatment.</w:t>
      </w:r>
    </w:p>
    <w:p w14:paraId="0BC0ABA9" w14:textId="77777777" w:rsidR="00497BAA" w:rsidRPr="00E53977" w:rsidRDefault="00497BAA" w:rsidP="002771FB">
      <w:pPr>
        <w:widowControl w:val="0"/>
        <w:spacing w:line="240" w:lineRule="auto"/>
        <w:rPr>
          <w:b/>
          <w:szCs w:val="20"/>
        </w:rPr>
      </w:pPr>
    </w:p>
    <w:p w14:paraId="798620D9" w14:textId="77777777" w:rsidR="00497BAA" w:rsidRPr="00E53977" w:rsidRDefault="00497BAA" w:rsidP="002771FB">
      <w:pPr>
        <w:widowControl w:val="0"/>
        <w:spacing w:line="240" w:lineRule="auto"/>
        <w:rPr>
          <w:b/>
          <w:szCs w:val="20"/>
        </w:rPr>
      </w:pPr>
      <w:r w:rsidRPr="00E53977">
        <w:rPr>
          <w:b/>
          <w:szCs w:val="20"/>
        </w:rPr>
        <w:t>Importers</w:t>
      </w:r>
    </w:p>
    <w:p w14:paraId="29A7165A" w14:textId="77777777" w:rsidR="00497BAA" w:rsidRPr="00E53977" w:rsidRDefault="00497BAA" w:rsidP="002771FB">
      <w:pPr>
        <w:widowControl w:val="0"/>
        <w:spacing w:line="240" w:lineRule="auto"/>
      </w:pPr>
      <w:r w:rsidRPr="00E53977">
        <w:t xml:space="preserve">Focus group participants stated that guidance for taking samples could be introduced, and the NFA could follow them as well, since samples can be contaminated before delivery to lab, especially if the temperature is not well controlled. This process would include the recording of specific details related to the sample, including from which lot/box the sample was taken, the producer/supplier, etc. After the goods are sampled, the importers could be allowed to continue transportation and wait for permit of sales in the warehouse and not at customs, as there are cases of goods being confined to the customs warehouse for up to 2 months. </w:t>
      </w:r>
    </w:p>
    <w:p w14:paraId="0A11355E" w14:textId="77777777" w:rsidR="00497BAA" w:rsidRPr="00E53977" w:rsidRDefault="00497BAA" w:rsidP="002771FB">
      <w:pPr>
        <w:widowControl w:val="0"/>
        <w:spacing w:line="240" w:lineRule="auto"/>
      </w:pPr>
      <w:r w:rsidRPr="00E53977">
        <w:t xml:space="preserve">Participants also stated that more staffing with better qualifications and competence were required at NFA, particularly for the Adjara NFA RO. Complaints included the waiting time to obtain import permit requiring several hours to process instead of 10 minutes. Additionally, participants stated that better coordination between custom’s lab and NFA is needed, and importers could not be responsible for already-distributed goods if the sales premises do not meet temperature requirements for food safety. </w:t>
      </w:r>
    </w:p>
    <w:p w14:paraId="5139133D" w14:textId="77777777" w:rsidR="00497BAA" w:rsidRPr="00E53977" w:rsidRDefault="00497BAA" w:rsidP="002771FB">
      <w:pPr>
        <w:widowControl w:val="0"/>
        <w:spacing w:line="240" w:lineRule="auto"/>
      </w:pPr>
      <w:r w:rsidRPr="00E53977">
        <w:t xml:space="preserve">In case of non-compliance, the imported and already distributed food could stopped/quarantined in the NFA office nearest to distribution place and importers could not be required to return the products to Adjara. </w:t>
      </w:r>
    </w:p>
    <w:p w14:paraId="15A3FEED" w14:textId="77777777" w:rsidR="00497BAA" w:rsidRPr="00E53977" w:rsidRDefault="00497BAA" w:rsidP="002771FB">
      <w:pPr>
        <w:widowControl w:val="0"/>
        <w:spacing w:line="240" w:lineRule="auto"/>
      </w:pPr>
      <w:r w:rsidRPr="00E53977">
        <w:t>Finally, the participants suggested that the NFA could focus on enforcement of already introduced legislation before starting enforcement of new one.</w:t>
      </w:r>
    </w:p>
    <w:p w14:paraId="4F7795ED" w14:textId="77777777" w:rsidR="00497BAA" w:rsidRPr="00E53977" w:rsidRDefault="00497BAA" w:rsidP="002771FB">
      <w:pPr>
        <w:widowControl w:val="0"/>
        <w:spacing w:line="240" w:lineRule="auto"/>
        <w:rPr>
          <w:i/>
          <w:szCs w:val="20"/>
        </w:rPr>
      </w:pPr>
      <w:r w:rsidRPr="00E53977">
        <w:rPr>
          <w:i/>
          <w:szCs w:val="20"/>
        </w:rPr>
        <w:t xml:space="preserve">Recommendations of the importers’ group: </w:t>
      </w:r>
    </w:p>
    <w:p w14:paraId="39BF780B" w14:textId="77777777" w:rsidR="00497BAA" w:rsidRPr="00E53977" w:rsidRDefault="00497BAA" w:rsidP="002771FB">
      <w:pPr>
        <w:pStyle w:val="List1"/>
      </w:pPr>
      <w:r w:rsidRPr="00E53977">
        <w:t>Guidance for taking samples could be introduced, and the NFA could follow them as well, since samples can be contaminated before delivery to lab, especially if the temperature is not well controlled.</w:t>
      </w:r>
    </w:p>
    <w:p w14:paraId="016D1AC3" w14:textId="77777777" w:rsidR="00497BAA" w:rsidRPr="00E53977" w:rsidRDefault="00497BAA" w:rsidP="002771FB">
      <w:pPr>
        <w:pStyle w:val="List1"/>
      </w:pPr>
      <w:r w:rsidRPr="00E53977">
        <w:t>In addition to stating that reference laboratories are required, participants stated that customs laboratories could be better equipped and be able to conduct most tests and work 24/7.</w:t>
      </w:r>
    </w:p>
    <w:p w14:paraId="51A8595F" w14:textId="77777777" w:rsidR="00497BAA" w:rsidRPr="00E53977" w:rsidRDefault="00497BAA" w:rsidP="002771FB">
      <w:pPr>
        <w:pStyle w:val="List1"/>
      </w:pPr>
      <w:r w:rsidRPr="00E53977">
        <w:t>The NFA could provide alternative locations to quarantine products, without requiring FBOs to return the products to Adjara.</w:t>
      </w:r>
    </w:p>
    <w:p w14:paraId="427963A2" w14:textId="77777777" w:rsidR="00497BAA" w:rsidRPr="00E53977" w:rsidRDefault="00497BAA" w:rsidP="002771FB">
      <w:pPr>
        <w:pStyle w:val="List1"/>
      </w:pPr>
      <w:r w:rsidRPr="00E53977">
        <w:lastRenderedPageBreak/>
        <w:t>Importers could not be responsible for already-distributed goods if the sales premises do not meet temperature requirements for food safety.</w:t>
      </w:r>
    </w:p>
    <w:p w14:paraId="45F02627" w14:textId="77777777" w:rsidR="00497BAA" w:rsidRPr="00E53977" w:rsidRDefault="00497BAA" w:rsidP="002771FB">
      <w:pPr>
        <w:pStyle w:val="List1"/>
      </w:pPr>
      <w:r w:rsidRPr="00E53977">
        <w:t>The NFA could recruit and train more qualified staff members in its ROs and have additional resources to respond quicker.</w:t>
      </w:r>
    </w:p>
    <w:p w14:paraId="28F47A04" w14:textId="77777777" w:rsidR="00497BAA" w:rsidRPr="00E53977" w:rsidRDefault="00497BAA" w:rsidP="002771FB">
      <w:pPr>
        <w:widowControl w:val="0"/>
      </w:pPr>
    </w:p>
    <w:tbl>
      <w:tblPr>
        <w:tblW w:w="5000" w:type="pct"/>
        <w:tblCellMar>
          <w:left w:w="0" w:type="dxa"/>
          <w:right w:w="0" w:type="dxa"/>
        </w:tblCellMar>
        <w:tblLook w:val="00A0" w:firstRow="1" w:lastRow="0" w:firstColumn="1" w:lastColumn="0" w:noHBand="0" w:noVBand="0"/>
      </w:tblPr>
      <w:tblGrid>
        <w:gridCol w:w="8730"/>
        <w:gridCol w:w="296"/>
      </w:tblGrid>
      <w:tr w:rsidR="00497BAA" w:rsidRPr="00E53977" w14:paraId="1077F043" w14:textId="77777777" w:rsidTr="002476E1">
        <w:tc>
          <w:tcPr>
            <w:tcW w:w="4836" w:type="pct"/>
            <w:shd w:val="clear" w:color="auto" w:fill="F2F2F2"/>
            <w:tcMar>
              <w:top w:w="0" w:type="dxa"/>
              <w:left w:w="108" w:type="dxa"/>
              <w:bottom w:w="0" w:type="dxa"/>
              <w:right w:w="108" w:type="dxa"/>
            </w:tcMar>
          </w:tcPr>
          <w:p w14:paraId="45F9A8BF" w14:textId="77777777" w:rsidR="00497BAA" w:rsidRPr="00E53977" w:rsidRDefault="00497BAA" w:rsidP="002771FB">
            <w:pPr>
              <w:widowControl w:val="0"/>
              <w:spacing w:after="0" w:line="240" w:lineRule="auto"/>
              <w:jc w:val="right"/>
              <w:rPr>
                <w:rFonts w:cs="Times New Roman"/>
                <w:b/>
                <w:bCs/>
                <w:szCs w:val="20"/>
              </w:rPr>
            </w:pPr>
            <w:r w:rsidRPr="00E53977">
              <w:rPr>
                <w:rFonts w:cs="Times New Roman"/>
                <w:b/>
                <w:bCs/>
                <w:szCs w:val="20"/>
              </w:rPr>
              <w:t>Comments of Focus Groups Participants:</w:t>
            </w:r>
          </w:p>
          <w:p w14:paraId="15CB7132" w14:textId="77777777" w:rsidR="00497BAA" w:rsidRPr="00E53977" w:rsidRDefault="00497BAA" w:rsidP="002771FB">
            <w:pPr>
              <w:widowControl w:val="0"/>
              <w:spacing w:after="0" w:line="240" w:lineRule="auto"/>
              <w:jc w:val="right"/>
              <w:rPr>
                <w:rFonts w:cs="Times New Roman"/>
                <w:b/>
                <w:bCs/>
                <w:szCs w:val="20"/>
              </w:rPr>
            </w:pPr>
          </w:p>
          <w:p w14:paraId="38C23B6B" w14:textId="77777777" w:rsidR="00497BAA" w:rsidRPr="00E53977" w:rsidRDefault="00497BAA" w:rsidP="002771FB">
            <w:pPr>
              <w:widowControl w:val="0"/>
              <w:spacing w:after="0" w:line="240" w:lineRule="auto"/>
              <w:jc w:val="right"/>
              <w:rPr>
                <w:rFonts w:cs="Times New Roman"/>
                <w:i/>
                <w:szCs w:val="20"/>
              </w:rPr>
            </w:pPr>
            <w:r w:rsidRPr="00E53977">
              <w:rPr>
                <w:rFonts w:cs="Times New Roman"/>
                <w:i/>
                <w:szCs w:val="20"/>
              </w:rPr>
              <w:t>If we want a change, we could make sure that Georgian society take part of responsibility in the process as well. If it is only the Government’s effort the will be doomed for failure. That is why to achieve its goals the agency could work with civil and private organizations and support their active involvement. [</w:t>
            </w:r>
            <w:r w:rsidRPr="00E53977">
              <w:rPr>
                <w:rFonts w:cs="Times New Roman"/>
                <w:b/>
                <w:i/>
                <w:szCs w:val="20"/>
              </w:rPr>
              <w:t>Male, Consumer, Tbilisi</w:t>
            </w:r>
            <w:r w:rsidRPr="00E53977">
              <w:rPr>
                <w:rFonts w:cs="Times New Roman"/>
                <w:i/>
                <w:szCs w:val="20"/>
              </w:rPr>
              <w:t xml:space="preserve">] </w:t>
            </w:r>
          </w:p>
          <w:p w14:paraId="0E6E50D0" w14:textId="77777777" w:rsidR="00497BAA" w:rsidRPr="00E53977" w:rsidRDefault="00497BAA" w:rsidP="002771FB">
            <w:pPr>
              <w:widowControl w:val="0"/>
              <w:spacing w:after="0" w:line="240" w:lineRule="auto"/>
              <w:jc w:val="right"/>
              <w:rPr>
                <w:rFonts w:cs="Times New Roman"/>
                <w:b/>
                <w:i/>
                <w:szCs w:val="20"/>
              </w:rPr>
            </w:pPr>
          </w:p>
          <w:p w14:paraId="391F0657" w14:textId="77777777" w:rsidR="00497BAA" w:rsidRPr="00E53977" w:rsidRDefault="00497BAA" w:rsidP="002771FB">
            <w:pPr>
              <w:widowControl w:val="0"/>
              <w:spacing w:after="0" w:line="240" w:lineRule="auto"/>
              <w:jc w:val="right"/>
              <w:rPr>
                <w:rFonts w:cs="Times New Roman"/>
                <w:i/>
                <w:szCs w:val="20"/>
              </w:rPr>
            </w:pPr>
            <w:r w:rsidRPr="00E53977">
              <w:rPr>
                <w:rFonts w:cs="Times New Roman"/>
                <w:i/>
                <w:szCs w:val="20"/>
              </w:rPr>
              <w:t>The Government is responsible for safe environment in the country including food safety. I do not understand why does the government allow street vendors to violate any basic rules of food safety, including selling meat on the streets without refrigerators [</w:t>
            </w:r>
            <w:r w:rsidRPr="00E53977">
              <w:rPr>
                <w:rFonts w:cs="Times New Roman"/>
                <w:b/>
                <w:i/>
                <w:szCs w:val="20"/>
              </w:rPr>
              <w:t xml:space="preserve">Female, Complain Consumer, Tbilisi </w:t>
            </w:r>
            <w:r w:rsidRPr="00E53977">
              <w:rPr>
                <w:rFonts w:cs="Times New Roman"/>
                <w:i/>
                <w:szCs w:val="20"/>
              </w:rPr>
              <w:t>]</w:t>
            </w:r>
          </w:p>
          <w:p w14:paraId="76431C15" w14:textId="77777777" w:rsidR="00497BAA" w:rsidRPr="00E53977" w:rsidRDefault="00497BAA" w:rsidP="002771FB">
            <w:pPr>
              <w:widowControl w:val="0"/>
              <w:spacing w:after="0" w:line="240" w:lineRule="auto"/>
              <w:jc w:val="right"/>
              <w:rPr>
                <w:rFonts w:cs="Times New Roman"/>
                <w:b/>
                <w:i/>
                <w:szCs w:val="20"/>
              </w:rPr>
            </w:pPr>
          </w:p>
          <w:p w14:paraId="079941BA" w14:textId="77777777" w:rsidR="00497BAA" w:rsidRPr="00E53977" w:rsidRDefault="00497BAA" w:rsidP="002771FB">
            <w:pPr>
              <w:widowControl w:val="0"/>
              <w:spacing w:after="0" w:line="240" w:lineRule="auto"/>
              <w:jc w:val="right"/>
              <w:rPr>
                <w:rFonts w:cs="Times New Roman"/>
                <w:szCs w:val="20"/>
              </w:rPr>
            </w:pPr>
            <w:r w:rsidRPr="00E53977">
              <w:rPr>
                <w:rFonts w:cs="Times New Roman"/>
                <w:i/>
                <w:szCs w:val="20"/>
              </w:rPr>
              <w:t>Two years ago during one of the inspections I’ve learned that we were required to have a certain certificate form Institute of Hygiene. So, I did registered for the training where I met other managers and chiefs that have been getting this certificate for four years already. If this was a required certificate why could an FBO learn about it only after 4 years? [</w:t>
            </w:r>
            <w:r w:rsidRPr="00E53977">
              <w:rPr>
                <w:rFonts w:cs="Times New Roman"/>
                <w:b/>
                <w:i/>
                <w:szCs w:val="20"/>
              </w:rPr>
              <w:t>Female, FBO, Tbilisi</w:t>
            </w:r>
            <w:r w:rsidRPr="00E53977">
              <w:rPr>
                <w:rFonts w:cs="Times New Roman"/>
                <w:i/>
                <w:szCs w:val="20"/>
              </w:rPr>
              <w:t xml:space="preserve">] </w:t>
            </w:r>
          </w:p>
          <w:p w14:paraId="1D7B25DC" w14:textId="77777777" w:rsidR="00497BAA" w:rsidRPr="00E53977" w:rsidRDefault="00497BAA" w:rsidP="002771FB">
            <w:pPr>
              <w:widowControl w:val="0"/>
              <w:spacing w:after="0" w:line="240" w:lineRule="auto"/>
              <w:jc w:val="right"/>
              <w:rPr>
                <w:rFonts w:cs="Times New Roman"/>
                <w:i/>
                <w:szCs w:val="20"/>
              </w:rPr>
            </w:pPr>
          </w:p>
          <w:p w14:paraId="18681F9F" w14:textId="77777777" w:rsidR="00497BAA" w:rsidRPr="00E53977" w:rsidRDefault="00497BAA" w:rsidP="002771FB">
            <w:pPr>
              <w:widowControl w:val="0"/>
              <w:spacing w:after="0" w:line="240" w:lineRule="auto"/>
              <w:jc w:val="right"/>
              <w:rPr>
                <w:rFonts w:cs="Times New Roman"/>
                <w:i/>
                <w:szCs w:val="20"/>
              </w:rPr>
            </w:pPr>
            <w:r w:rsidRPr="00E53977">
              <w:rPr>
                <w:rFonts w:cs="Times New Roman"/>
                <w:i/>
                <w:szCs w:val="20"/>
              </w:rPr>
              <w:t>We were so tired of getting warning during our inspections and to being able to check it that hired external staff that comes and sterilizes premises in the evenings, and, most importantly, as they are more aware of the NFA regulations than us and some of the inspectors, they provide recommendations. [</w:t>
            </w:r>
            <w:r w:rsidRPr="00E53977">
              <w:rPr>
                <w:rFonts w:cs="Times New Roman"/>
                <w:b/>
                <w:i/>
                <w:szCs w:val="20"/>
              </w:rPr>
              <w:t>Male, FBO, Tbilisi</w:t>
            </w:r>
            <w:r w:rsidRPr="00E53977">
              <w:rPr>
                <w:rFonts w:cs="Times New Roman"/>
                <w:i/>
                <w:szCs w:val="20"/>
              </w:rPr>
              <w:t>]</w:t>
            </w:r>
          </w:p>
        </w:tc>
        <w:tc>
          <w:tcPr>
            <w:tcW w:w="164" w:type="pct"/>
            <w:shd w:val="clear" w:color="auto" w:fill="BFBFBF"/>
            <w:tcMar>
              <w:top w:w="0" w:type="dxa"/>
              <w:left w:w="108" w:type="dxa"/>
              <w:bottom w:w="0" w:type="dxa"/>
              <w:right w:w="108" w:type="dxa"/>
            </w:tcMar>
          </w:tcPr>
          <w:p w14:paraId="6D91E12A" w14:textId="77777777" w:rsidR="00497BAA" w:rsidRPr="00E53977" w:rsidRDefault="00497BAA" w:rsidP="002771FB">
            <w:pPr>
              <w:widowControl w:val="0"/>
              <w:spacing w:after="0" w:line="240" w:lineRule="auto"/>
              <w:rPr>
                <w:rFonts w:cs="Times New Roman"/>
                <w:szCs w:val="20"/>
              </w:rPr>
            </w:pPr>
          </w:p>
        </w:tc>
      </w:tr>
    </w:tbl>
    <w:p w14:paraId="6448F24F" w14:textId="77777777" w:rsidR="00497BAA" w:rsidRPr="00E53977" w:rsidRDefault="00497BAA" w:rsidP="002771FB">
      <w:pPr>
        <w:widowControl w:val="0"/>
        <w:spacing w:after="0" w:line="240" w:lineRule="auto"/>
        <w:jc w:val="right"/>
        <w:rPr>
          <w:rFonts w:cs="Times New Roman"/>
          <w:sz w:val="20"/>
          <w:szCs w:val="20"/>
        </w:rPr>
      </w:pPr>
      <w:r w:rsidRPr="00E53977">
        <w:rPr>
          <w:rFonts w:cs="Times New Roman"/>
          <w:i/>
          <w:sz w:val="20"/>
          <w:szCs w:val="20"/>
        </w:rPr>
        <w:t>Source: 2017 Food Safety Reforms Assessment / Qualitative Study of the Target Groups</w:t>
      </w:r>
    </w:p>
    <w:p w14:paraId="5D84B4D6" w14:textId="77777777" w:rsidR="00497BAA" w:rsidRPr="00E53977" w:rsidRDefault="00497BAA" w:rsidP="002771FB">
      <w:pPr>
        <w:widowControl w:val="0"/>
        <w:jc w:val="left"/>
      </w:pPr>
    </w:p>
    <w:p w14:paraId="471A6469" w14:textId="77777777" w:rsidR="00497BAA" w:rsidRPr="00E53977" w:rsidRDefault="00497BAA" w:rsidP="002771FB">
      <w:pPr>
        <w:widowControl w:val="0"/>
        <w:jc w:val="left"/>
        <w:rPr>
          <w:rFonts w:eastAsiaTheme="majorEastAsia" w:cstheme="minorHAnsi"/>
          <w:b/>
          <w:caps/>
          <w:color w:val="0070C0"/>
          <w:sz w:val="28"/>
          <w:szCs w:val="32"/>
        </w:rPr>
      </w:pPr>
      <w:r w:rsidRPr="00E53977">
        <w:br w:type="page"/>
      </w:r>
    </w:p>
    <w:p w14:paraId="4B0DC3DC" w14:textId="1B316225" w:rsidR="00B9071F" w:rsidRPr="00E53977" w:rsidRDefault="00052565" w:rsidP="002771FB">
      <w:pPr>
        <w:pStyle w:val="Heading1"/>
        <w:widowControl w:val="0"/>
      </w:pPr>
      <w:bookmarkStart w:id="106" w:name="_Toc520906394"/>
      <w:r w:rsidRPr="00E53977">
        <w:rPr>
          <w:caps w:val="0"/>
        </w:rPr>
        <w:lastRenderedPageBreak/>
        <w:t xml:space="preserve">ANNEX </w:t>
      </w:r>
      <w:r w:rsidR="00497BAA" w:rsidRPr="00E53977">
        <w:rPr>
          <w:caps w:val="0"/>
        </w:rPr>
        <w:t>9</w:t>
      </w:r>
      <w:r w:rsidR="00B9071F" w:rsidRPr="00E53977">
        <w:t>: SUMMARY OF NOTIFICATIONS IN 2017</w:t>
      </w:r>
      <w:bookmarkEnd w:id="106"/>
    </w:p>
    <w:p w14:paraId="6A1FA65C" w14:textId="77777777" w:rsidR="00B9071F" w:rsidRPr="00E53977" w:rsidRDefault="00B9071F" w:rsidP="002771FB">
      <w:pPr>
        <w:pStyle w:val="Caption"/>
        <w:widowControl w:val="0"/>
        <w:rPr>
          <w:b/>
        </w:rPr>
      </w:pPr>
      <w:r w:rsidRPr="00E53977">
        <w:rPr>
          <w:b/>
        </w:rPr>
        <w:t>Number of Notifications and Seasonal Distribution by Month in 2017</w:t>
      </w:r>
    </w:p>
    <w:p w14:paraId="5B3E16A6" w14:textId="77777777" w:rsidR="00B9071F" w:rsidRPr="00E53977" w:rsidRDefault="00B9071F" w:rsidP="002771FB">
      <w:pPr>
        <w:pStyle w:val="Caption"/>
        <w:widowControl w:val="0"/>
        <w:rPr>
          <w:b/>
        </w:rPr>
      </w:pPr>
      <w:r w:rsidRPr="00E53977">
        <w:rPr>
          <w:b/>
          <w:noProof/>
        </w:rPr>
        <w:drawing>
          <wp:inline distT="0" distB="0" distL="0" distR="0" wp14:anchorId="05CA60D7" wp14:editId="3F04E997">
            <wp:extent cx="5715000" cy="2286000"/>
            <wp:effectExtent l="0" t="0" r="0" b="0"/>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7F7C87A" w14:textId="77777777" w:rsidR="00B9071F" w:rsidRPr="00E53977" w:rsidRDefault="00B9071F" w:rsidP="002771FB">
      <w:pPr>
        <w:pStyle w:val="Caption"/>
        <w:widowControl w:val="0"/>
        <w:rPr>
          <w:b/>
        </w:rPr>
      </w:pPr>
    </w:p>
    <w:p w14:paraId="77D2D8EB" w14:textId="77777777" w:rsidR="00B9071F" w:rsidRPr="00E53977" w:rsidRDefault="00B9071F" w:rsidP="002771FB">
      <w:pPr>
        <w:pStyle w:val="Caption"/>
        <w:widowControl w:val="0"/>
        <w:rPr>
          <w:b/>
        </w:rPr>
      </w:pPr>
      <w:r w:rsidRPr="00E53977">
        <w:rPr>
          <w:b/>
        </w:rPr>
        <w:t>Number of Notifications by Region in 2017</w:t>
      </w:r>
    </w:p>
    <w:p w14:paraId="6ED89F16" w14:textId="77777777" w:rsidR="00B9071F" w:rsidRPr="00E53977" w:rsidRDefault="00B9071F" w:rsidP="002771FB">
      <w:pPr>
        <w:widowControl w:val="0"/>
      </w:pPr>
      <w:r w:rsidRPr="00E53977">
        <w:rPr>
          <w:noProof/>
        </w:rPr>
        <w:drawing>
          <wp:inline distT="0" distB="0" distL="0" distR="0" wp14:anchorId="37644419" wp14:editId="2A018420">
            <wp:extent cx="5715000" cy="2286000"/>
            <wp:effectExtent l="0" t="0" r="0" b="0"/>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75C089B" w14:textId="77777777" w:rsidR="00B9071F" w:rsidRPr="00E53977" w:rsidRDefault="00B9071F" w:rsidP="002771FB">
      <w:pPr>
        <w:pStyle w:val="Caption"/>
        <w:widowControl w:val="0"/>
        <w:rPr>
          <w:b/>
        </w:rPr>
      </w:pPr>
    </w:p>
    <w:p w14:paraId="70C2CE4A" w14:textId="77777777" w:rsidR="00B9071F" w:rsidRPr="00E53977" w:rsidRDefault="00B9071F" w:rsidP="002771FB">
      <w:pPr>
        <w:pStyle w:val="Caption"/>
        <w:widowControl w:val="0"/>
        <w:rPr>
          <w:b/>
        </w:rPr>
      </w:pPr>
      <w:r w:rsidRPr="00E53977">
        <w:rPr>
          <w:b/>
        </w:rPr>
        <w:t>Distribution of Notifications by Food Type in 2017</w:t>
      </w:r>
    </w:p>
    <w:p w14:paraId="7C70DE9F" w14:textId="77777777" w:rsidR="00B9071F" w:rsidRPr="00E53977" w:rsidRDefault="00B9071F" w:rsidP="002771FB">
      <w:pPr>
        <w:widowControl w:val="0"/>
      </w:pPr>
      <w:r w:rsidRPr="00E53977">
        <w:rPr>
          <w:rFonts w:ascii="Sylfaen" w:hAnsi="Sylfaen"/>
          <w:noProof/>
          <w:color w:val="FF0000"/>
          <w:sz w:val="16"/>
          <w:szCs w:val="16"/>
        </w:rPr>
        <w:drawing>
          <wp:inline distT="0" distB="0" distL="0" distR="0" wp14:anchorId="269DCC71" wp14:editId="2400A389">
            <wp:extent cx="5715000" cy="2286000"/>
            <wp:effectExtent l="0" t="0" r="0" b="0"/>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1196FC7" w14:textId="77777777" w:rsidR="00B9071F" w:rsidRPr="00E53977" w:rsidRDefault="00B9071F" w:rsidP="002771FB">
      <w:pPr>
        <w:widowControl w:val="0"/>
        <w:jc w:val="left"/>
        <w:rPr>
          <w:rFonts w:eastAsiaTheme="majorEastAsia" w:cstheme="minorHAnsi"/>
          <w:b/>
          <w:caps/>
          <w:color w:val="0070C0"/>
          <w:sz w:val="28"/>
          <w:szCs w:val="32"/>
        </w:rPr>
      </w:pPr>
    </w:p>
    <w:p w14:paraId="2970BE09" w14:textId="55F91360" w:rsidR="00B9071F" w:rsidRPr="00E53977" w:rsidRDefault="00052565" w:rsidP="002771FB">
      <w:pPr>
        <w:pStyle w:val="Heading1"/>
        <w:widowControl w:val="0"/>
        <w:rPr>
          <w:rFonts w:cs="Times New Roman"/>
          <w:szCs w:val="24"/>
        </w:rPr>
      </w:pPr>
      <w:bookmarkStart w:id="107" w:name="_Toc520906395"/>
      <w:r w:rsidRPr="00E53977">
        <w:rPr>
          <w:caps w:val="0"/>
        </w:rPr>
        <w:lastRenderedPageBreak/>
        <w:t>ANNEX 10</w:t>
      </w:r>
      <w:r w:rsidR="00B9071F" w:rsidRPr="00E53977">
        <w:t xml:space="preserve">: </w:t>
      </w:r>
      <w:bookmarkEnd w:id="101"/>
      <w:r w:rsidR="00B9071F" w:rsidRPr="00E53977">
        <w:t>LIST OF RESPONDENTS</w:t>
      </w:r>
      <w:bookmarkEnd w:id="107"/>
    </w:p>
    <w:tbl>
      <w:tblPr>
        <w:tblStyle w:val="GridTable1Light"/>
        <w:tblW w:w="9721" w:type="dxa"/>
        <w:tblLayout w:type="fixed"/>
        <w:tblLook w:val="04A0" w:firstRow="1" w:lastRow="0" w:firstColumn="1" w:lastColumn="0" w:noHBand="0" w:noVBand="1"/>
      </w:tblPr>
      <w:tblGrid>
        <w:gridCol w:w="535"/>
        <w:gridCol w:w="2012"/>
        <w:gridCol w:w="3118"/>
        <w:gridCol w:w="2127"/>
        <w:gridCol w:w="1929"/>
      </w:tblGrid>
      <w:tr w:rsidR="00B9071F" w:rsidRPr="00E53977" w14:paraId="2D7DEAE8" w14:textId="77777777" w:rsidTr="00FF581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35" w:type="dxa"/>
            <w:shd w:val="clear" w:color="auto" w:fill="0070C0"/>
            <w:noWrap/>
            <w:hideMark/>
          </w:tcPr>
          <w:p w14:paraId="6537184A" w14:textId="77777777" w:rsidR="00B9071F" w:rsidRPr="00E53977" w:rsidRDefault="00B9071F" w:rsidP="002771FB">
            <w:pPr>
              <w:pStyle w:val="NoSpacing"/>
              <w:widowControl w:val="0"/>
              <w:rPr>
                <w:sz w:val="20"/>
                <w:szCs w:val="20"/>
              </w:rPr>
            </w:pPr>
          </w:p>
        </w:tc>
        <w:tc>
          <w:tcPr>
            <w:tcW w:w="2012" w:type="dxa"/>
            <w:shd w:val="clear" w:color="auto" w:fill="0070C0"/>
            <w:hideMark/>
          </w:tcPr>
          <w:p w14:paraId="0DABB17E" w14:textId="77777777" w:rsidR="00B9071F" w:rsidRPr="00E53977" w:rsidRDefault="00B9071F" w:rsidP="002771FB">
            <w:pPr>
              <w:pStyle w:val="NoSpacing"/>
              <w:widowControl w:val="0"/>
              <w:cnfStyle w:val="100000000000" w:firstRow="1" w:lastRow="0" w:firstColumn="0" w:lastColumn="0" w:oddVBand="0" w:evenVBand="0" w:oddHBand="0" w:evenHBand="0" w:firstRowFirstColumn="0" w:firstRowLastColumn="0" w:lastRowFirstColumn="0" w:lastRowLastColumn="0"/>
              <w:rPr>
                <w:color w:val="FFFFFF"/>
                <w:sz w:val="20"/>
                <w:szCs w:val="20"/>
              </w:rPr>
            </w:pPr>
            <w:r w:rsidRPr="00E53977">
              <w:rPr>
                <w:color w:val="FFFFFF"/>
                <w:sz w:val="20"/>
                <w:szCs w:val="20"/>
              </w:rPr>
              <w:t>Organization</w:t>
            </w:r>
          </w:p>
        </w:tc>
        <w:tc>
          <w:tcPr>
            <w:tcW w:w="3118" w:type="dxa"/>
            <w:shd w:val="clear" w:color="auto" w:fill="0070C0"/>
            <w:hideMark/>
          </w:tcPr>
          <w:p w14:paraId="0EC4E3C0" w14:textId="77777777" w:rsidR="00B9071F" w:rsidRPr="00E53977" w:rsidRDefault="00B9071F" w:rsidP="002771FB">
            <w:pPr>
              <w:pStyle w:val="NoSpacing"/>
              <w:widowControl w:val="0"/>
              <w:cnfStyle w:val="100000000000" w:firstRow="1" w:lastRow="0" w:firstColumn="0" w:lastColumn="0" w:oddVBand="0" w:evenVBand="0" w:oddHBand="0" w:evenHBand="0" w:firstRowFirstColumn="0" w:firstRowLastColumn="0" w:lastRowFirstColumn="0" w:lastRowLastColumn="0"/>
              <w:rPr>
                <w:color w:val="FFFFFF"/>
                <w:sz w:val="20"/>
                <w:szCs w:val="20"/>
              </w:rPr>
            </w:pPr>
            <w:r w:rsidRPr="00E53977">
              <w:rPr>
                <w:color w:val="FFFFFF"/>
                <w:sz w:val="20"/>
                <w:szCs w:val="20"/>
              </w:rPr>
              <w:t>Department</w:t>
            </w:r>
          </w:p>
        </w:tc>
        <w:tc>
          <w:tcPr>
            <w:tcW w:w="2127" w:type="dxa"/>
            <w:shd w:val="clear" w:color="auto" w:fill="0070C0"/>
            <w:hideMark/>
          </w:tcPr>
          <w:p w14:paraId="32620056" w14:textId="77777777" w:rsidR="00B9071F" w:rsidRPr="00E53977" w:rsidRDefault="00B9071F" w:rsidP="002771FB">
            <w:pPr>
              <w:pStyle w:val="NoSpacing"/>
              <w:widowControl w:val="0"/>
              <w:cnfStyle w:val="100000000000" w:firstRow="1" w:lastRow="0" w:firstColumn="0" w:lastColumn="0" w:oddVBand="0" w:evenVBand="0" w:oddHBand="0" w:evenHBand="0" w:firstRowFirstColumn="0" w:firstRowLastColumn="0" w:lastRowFirstColumn="0" w:lastRowLastColumn="0"/>
              <w:rPr>
                <w:color w:val="FFFFFF"/>
                <w:sz w:val="20"/>
                <w:szCs w:val="20"/>
              </w:rPr>
            </w:pPr>
            <w:r w:rsidRPr="00E53977">
              <w:rPr>
                <w:color w:val="FFFFFF"/>
                <w:sz w:val="20"/>
                <w:szCs w:val="20"/>
              </w:rPr>
              <w:t>Title</w:t>
            </w:r>
          </w:p>
        </w:tc>
        <w:tc>
          <w:tcPr>
            <w:tcW w:w="1929" w:type="dxa"/>
            <w:shd w:val="clear" w:color="auto" w:fill="0070C0"/>
            <w:noWrap/>
            <w:hideMark/>
          </w:tcPr>
          <w:p w14:paraId="74B3B6EF" w14:textId="77777777" w:rsidR="00B9071F" w:rsidRPr="00E53977" w:rsidRDefault="00B9071F" w:rsidP="002771FB">
            <w:pPr>
              <w:pStyle w:val="NoSpacing"/>
              <w:widowControl w:val="0"/>
              <w:cnfStyle w:val="100000000000" w:firstRow="1" w:lastRow="0" w:firstColumn="0" w:lastColumn="0" w:oddVBand="0" w:evenVBand="0" w:oddHBand="0" w:evenHBand="0" w:firstRowFirstColumn="0" w:firstRowLastColumn="0" w:lastRowFirstColumn="0" w:lastRowLastColumn="0"/>
              <w:rPr>
                <w:color w:val="FFFFFF"/>
                <w:sz w:val="20"/>
                <w:szCs w:val="20"/>
              </w:rPr>
            </w:pPr>
            <w:r w:rsidRPr="00E53977">
              <w:rPr>
                <w:color w:val="FFFFFF"/>
                <w:sz w:val="20"/>
                <w:szCs w:val="20"/>
              </w:rPr>
              <w:t>Name</w:t>
            </w:r>
          </w:p>
        </w:tc>
      </w:tr>
      <w:tr w:rsidR="00B9071F" w:rsidRPr="00E53977" w14:paraId="4082C76F"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52A99854" w14:textId="77777777" w:rsidR="00B9071F" w:rsidRPr="00E53977" w:rsidRDefault="00B9071F" w:rsidP="002771FB">
            <w:pPr>
              <w:pStyle w:val="NoSpacing"/>
              <w:widowControl w:val="0"/>
              <w:rPr>
                <w:color w:val="000000"/>
                <w:sz w:val="20"/>
                <w:szCs w:val="20"/>
              </w:rPr>
            </w:pPr>
            <w:r w:rsidRPr="00E53977">
              <w:rPr>
                <w:color w:val="000000"/>
                <w:sz w:val="20"/>
                <w:szCs w:val="20"/>
              </w:rPr>
              <w:t>1</w:t>
            </w:r>
          </w:p>
        </w:tc>
        <w:tc>
          <w:tcPr>
            <w:tcW w:w="2012" w:type="dxa"/>
            <w:hideMark/>
          </w:tcPr>
          <w:p w14:paraId="4F45A46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ADA</w:t>
            </w:r>
          </w:p>
        </w:tc>
        <w:tc>
          <w:tcPr>
            <w:tcW w:w="3118" w:type="dxa"/>
            <w:noWrap/>
            <w:hideMark/>
          </w:tcPr>
          <w:p w14:paraId="3DC0239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Administration</w:t>
            </w:r>
          </w:p>
        </w:tc>
        <w:tc>
          <w:tcPr>
            <w:tcW w:w="2127" w:type="dxa"/>
            <w:hideMark/>
          </w:tcPr>
          <w:p w14:paraId="0F21FF1F"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Head of Office</w:t>
            </w:r>
          </w:p>
        </w:tc>
        <w:tc>
          <w:tcPr>
            <w:tcW w:w="1929" w:type="dxa"/>
            <w:noWrap/>
            <w:hideMark/>
          </w:tcPr>
          <w:p w14:paraId="264502A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Gerhard Schaumberger</w:t>
            </w:r>
          </w:p>
        </w:tc>
      </w:tr>
      <w:tr w:rsidR="00B9071F" w:rsidRPr="00E53977" w14:paraId="67DCC421"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7429CB35" w14:textId="77777777" w:rsidR="00B9071F" w:rsidRPr="00E53977" w:rsidRDefault="00B9071F" w:rsidP="002771FB">
            <w:pPr>
              <w:pStyle w:val="NoSpacing"/>
              <w:widowControl w:val="0"/>
              <w:rPr>
                <w:color w:val="000000"/>
                <w:sz w:val="20"/>
                <w:szCs w:val="20"/>
              </w:rPr>
            </w:pPr>
            <w:r w:rsidRPr="00E53977">
              <w:rPr>
                <w:color w:val="000000"/>
                <w:sz w:val="20"/>
                <w:szCs w:val="20"/>
              </w:rPr>
              <w:t>2</w:t>
            </w:r>
          </w:p>
        </w:tc>
        <w:tc>
          <w:tcPr>
            <w:tcW w:w="2012" w:type="dxa"/>
            <w:hideMark/>
          </w:tcPr>
          <w:p w14:paraId="0265A0F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 xml:space="preserve">Batumi Municipality </w:t>
            </w:r>
          </w:p>
        </w:tc>
        <w:tc>
          <w:tcPr>
            <w:tcW w:w="3118" w:type="dxa"/>
            <w:hideMark/>
          </w:tcPr>
          <w:p w14:paraId="0FDC44F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Supervisory Services</w:t>
            </w:r>
          </w:p>
        </w:tc>
        <w:tc>
          <w:tcPr>
            <w:tcW w:w="2127" w:type="dxa"/>
            <w:hideMark/>
          </w:tcPr>
          <w:p w14:paraId="104DDA6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w:t>
            </w:r>
          </w:p>
        </w:tc>
        <w:tc>
          <w:tcPr>
            <w:tcW w:w="1929" w:type="dxa"/>
            <w:noWrap/>
            <w:hideMark/>
          </w:tcPr>
          <w:p w14:paraId="15BF52EB"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Zaal Mamuchadze</w:t>
            </w:r>
          </w:p>
        </w:tc>
      </w:tr>
      <w:tr w:rsidR="00B9071F" w:rsidRPr="00E53977" w14:paraId="189720F3"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1B5D2020" w14:textId="77777777" w:rsidR="00B9071F" w:rsidRPr="00E53977" w:rsidRDefault="00B9071F" w:rsidP="002771FB">
            <w:pPr>
              <w:pStyle w:val="NoSpacing"/>
              <w:widowControl w:val="0"/>
              <w:rPr>
                <w:color w:val="000000"/>
                <w:sz w:val="20"/>
                <w:szCs w:val="20"/>
              </w:rPr>
            </w:pPr>
            <w:r w:rsidRPr="00E53977">
              <w:rPr>
                <w:color w:val="000000"/>
                <w:sz w:val="20"/>
                <w:szCs w:val="20"/>
              </w:rPr>
              <w:t>3</w:t>
            </w:r>
          </w:p>
        </w:tc>
        <w:tc>
          <w:tcPr>
            <w:tcW w:w="2012" w:type="dxa"/>
            <w:hideMark/>
          </w:tcPr>
          <w:p w14:paraId="5EA621F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 xml:space="preserve">Batumi Municipality </w:t>
            </w:r>
          </w:p>
        </w:tc>
        <w:tc>
          <w:tcPr>
            <w:tcW w:w="3118" w:type="dxa"/>
            <w:noWrap/>
            <w:hideMark/>
          </w:tcPr>
          <w:p w14:paraId="2671353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Sanitary Services</w:t>
            </w:r>
          </w:p>
        </w:tc>
        <w:tc>
          <w:tcPr>
            <w:tcW w:w="2127" w:type="dxa"/>
            <w:hideMark/>
          </w:tcPr>
          <w:p w14:paraId="6012E22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w:t>
            </w:r>
          </w:p>
        </w:tc>
        <w:tc>
          <w:tcPr>
            <w:tcW w:w="1929" w:type="dxa"/>
            <w:noWrap/>
            <w:hideMark/>
          </w:tcPr>
          <w:p w14:paraId="4F7A0ED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Nugzar Tsetskladze</w:t>
            </w:r>
          </w:p>
        </w:tc>
      </w:tr>
      <w:tr w:rsidR="00B9071F" w:rsidRPr="00E53977" w14:paraId="40A740F0"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78D7C684" w14:textId="77777777" w:rsidR="00B9071F" w:rsidRPr="00E53977" w:rsidRDefault="00B9071F" w:rsidP="002771FB">
            <w:pPr>
              <w:pStyle w:val="NoSpacing"/>
              <w:widowControl w:val="0"/>
              <w:rPr>
                <w:color w:val="000000"/>
                <w:sz w:val="20"/>
                <w:szCs w:val="20"/>
              </w:rPr>
            </w:pPr>
            <w:r w:rsidRPr="00E53977">
              <w:rPr>
                <w:color w:val="000000"/>
                <w:sz w:val="20"/>
                <w:szCs w:val="20"/>
              </w:rPr>
              <w:t>4</w:t>
            </w:r>
          </w:p>
        </w:tc>
        <w:tc>
          <w:tcPr>
            <w:tcW w:w="2012" w:type="dxa"/>
            <w:hideMark/>
          </w:tcPr>
          <w:p w14:paraId="08E7B7A8"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Center for Strategic Research and Development</w:t>
            </w:r>
          </w:p>
        </w:tc>
        <w:tc>
          <w:tcPr>
            <w:tcW w:w="3118" w:type="dxa"/>
            <w:hideMark/>
          </w:tcPr>
          <w:p w14:paraId="3C7D6BB1"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Consumer Rights Protection Program</w:t>
            </w:r>
          </w:p>
        </w:tc>
        <w:tc>
          <w:tcPr>
            <w:tcW w:w="2127" w:type="dxa"/>
            <w:hideMark/>
          </w:tcPr>
          <w:p w14:paraId="32993FF7"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Food Safety Coordinator</w:t>
            </w:r>
          </w:p>
        </w:tc>
        <w:tc>
          <w:tcPr>
            <w:tcW w:w="1929" w:type="dxa"/>
            <w:hideMark/>
          </w:tcPr>
          <w:p w14:paraId="3C37B85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Vakhtang Kobaladze</w:t>
            </w:r>
          </w:p>
        </w:tc>
      </w:tr>
      <w:tr w:rsidR="00B9071F" w:rsidRPr="00E53977" w14:paraId="6FCC5A3E"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6B730988" w14:textId="77777777" w:rsidR="00B9071F" w:rsidRPr="00E53977" w:rsidRDefault="00B9071F" w:rsidP="002771FB">
            <w:pPr>
              <w:pStyle w:val="NoSpacing"/>
              <w:widowControl w:val="0"/>
              <w:rPr>
                <w:color w:val="000000"/>
                <w:sz w:val="20"/>
                <w:szCs w:val="20"/>
              </w:rPr>
            </w:pPr>
            <w:r w:rsidRPr="00E53977">
              <w:rPr>
                <w:color w:val="000000"/>
                <w:sz w:val="20"/>
                <w:szCs w:val="20"/>
              </w:rPr>
              <w:t>5</w:t>
            </w:r>
          </w:p>
        </w:tc>
        <w:tc>
          <w:tcPr>
            <w:tcW w:w="2012" w:type="dxa"/>
            <w:hideMark/>
          </w:tcPr>
          <w:p w14:paraId="3741982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Dairy Georgia</w:t>
            </w:r>
          </w:p>
        </w:tc>
        <w:tc>
          <w:tcPr>
            <w:tcW w:w="3118" w:type="dxa"/>
            <w:noWrap/>
            <w:hideMark/>
          </w:tcPr>
          <w:p w14:paraId="6A76B97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Administration</w:t>
            </w:r>
          </w:p>
        </w:tc>
        <w:tc>
          <w:tcPr>
            <w:tcW w:w="2127" w:type="dxa"/>
            <w:hideMark/>
          </w:tcPr>
          <w:p w14:paraId="67B5743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CEO</w:t>
            </w:r>
          </w:p>
        </w:tc>
        <w:tc>
          <w:tcPr>
            <w:tcW w:w="1929" w:type="dxa"/>
            <w:noWrap/>
            <w:hideMark/>
          </w:tcPr>
          <w:p w14:paraId="3737B94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Kakhaber Koniashvili</w:t>
            </w:r>
          </w:p>
        </w:tc>
      </w:tr>
      <w:tr w:rsidR="00B9071F" w:rsidRPr="00E53977" w14:paraId="08F90AF6"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0DAF013A" w14:textId="77777777" w:rsidR="00B9071F" w:rsidRPr="00E53977" w:rsidRDefault="00B9071F" w:rsidP="002771FB">
            <w:pPr>
              <w:pStyle w:val="NoSpacing"/>
              <w:widowControl w:val="0"/>
              <w:rPr>
                <w:color w:val="000000"/>
                <w:sz w:val="20"/>
                <w:szCs w:val="20"/>
              </w:rPr>
            </w:pPr>
            <w:r w:rsidRPr="00E53977">
              <w:rPr>
                <w:color w:val="000000"/>
                <w:sz w:val="20"/>
                <w:szCs w:val="20"/>
              </w:rPr>
              <w:t>6</w:t>
            </w:r>
          </w:p>
        </w:tc>
        <w:tc>
          <w:tcPr>
            <w:tcW w:w="2012" w:type="dxa"/>
            <w:hideMark/>
          </w:tcPr>
          <w:p w14:paraId="0DCEB59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FAO</w:t>
            </w:r>
          </w:p>
        </w:tc>
        <w:tc>
          <w:tcPr>
            <w:tcW w:w="3118" w:type="dxa"/>
            <w:hideMark/>
          </w:tcPr>
          <w:p w14:paraId="4E17FE3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National Animal Identification and Traceability (NAITS) project</w:t>
            </w:r>
          </w:p>
        </w:tc>
        <w:tc>
          <w:tcPr>
            <w:tcW w:w="2127" w:type="dxa"/>
            <w:hideMark/>
          </w:tcPr>
          <w:p w14:paraId="0980B14B"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Deputy Team Leader</w:t>
            </w:r>
          </w:p>
        </w:tc>
        <w:tc>
          <w:tcPr>
            <w:tcW w:w="1929" w:type="dxa"/>
            <w:hideMark/>
          </w:tcPr>
          <w:p w14:paraId="291E42E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Misha Sokhadze</w:t>
            </w:r>
          </w:p>
        </w:tc>
      </w:tr>
      <w:tr w:rsidR="00B9071F" w:rsidRPr="00E53977" w14:paraId="4730F047"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55262295" w14:textId="77777777" w:rsidR="00B9071F" w:rsidRPr="00E53977" w:rsidRDefault="00B9071F" w:rsidP="002771FB">
            <w:pPr>
              <w:pStyle w:val="NoSpacing"/>
              <w:widowControl w:val="0"/>
              <w:rPr>
                <w:color w:val="000000"/>
                <w:sz w:val="20"/>
                <w:szCs w:val="20"/>
              </w:rPr>
            </w:pPr>
            <w:r w:rsidRPr="00E53977">
              <w:rPr>
                <w:color w:val="000000"/>
                <w:sz w:val="20"/>
                <w:szCs w:val="20"/>
              </w:rPr>
              <w:t>7</w:t>
            </w:r>
          </w:p>
        </w:tc>
        <w:tc>
          <w:tcPr>
            <w:tcW w:w="2012" w:type="dxa"/>
            <w:hideMark/>
          </w:tcPr>
          <w:p w14:paraId="3309963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Farmers of the Future</w:t>
            </w:r>
          </w:p>
        </w:tc>
        <w:tc>
          <w:tcPr>
            <w:tcW w:w="3118" w:type="dxa"/>
            <w:hideMark/>
          </w:tcPr>
          <w:p w14:paraId="11D42E3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Association</w:t>
            </w:r>
          </w:p>
        </w:tc>
        <w:tc>
          <w:tcPr>
            <w:tcW w:w="2127" w:type="dxa"/>
            <w:hideMark/>
          </w:tcPr>
          <w:p w14:paraId="13FCFDD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Chairman</w:t>
            </w:r>
          </w:p>
        </w:tc>
        <w:tc>
          <w:tcPr>
            <w:tcW w:w="1929" w:type="dxa"/>
            <w:noWrap/>
            <w:hideMark/>
          </w:tcPr>
          <w:p w14:paraId="6BA229F8"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Nikoloz Zazashvili</w:t>
            </w:r>
          </w:p>
        </w:tc>
      </w:tr>
      <w:tr w:rsidR="00B9071F" w:rsidRPr="00E53977" w14:paraId="3B5EC9B4"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3B7E9DE6" w14:textId="77777777" w:rsidR="00B9071F" w:rsidRPr="00E53977" w:rsidRDefault="00B9071F" w:rsidP="002771FB">
            <w:pPr>
              <w:pStyle w:val="NoSpacing"/>
              <w:widowControl w:val="0"/>
              <w:rPr>
                <w:color w:val="000000"/>
                <w:sz w:val="20"/>
                <w:szCs w:val="20"/>
              </w:rPr>
            </w:pPr>
            <w:r w:rsidRPr="00E53977">
              <w:rPr>
                <w:color w:val="000000"/>
                <w:sz w:val="20"/>
                <w:szCs w:val="20"/>
              </w:rPr>
              <w:t>8</w:t>
            </w:r>
          </w:p>
        </w:tc>
        <w:tc>
          <w:tcPr>
            <w:tcW w:w="2012" w:type="dxa"/>
            <w:hideMark/>
          </w:tcPr>
          <w:p w14:paraId="037C4CB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Feed Mill</w:t>
            </w:r>
          </w:p>
        </w:tc>
        <w:tc>
          <w:tcPr>
            <w:tcW w:w="3118" w:type="dxa"/>
            <w:noWrap/>
            <w:hideMark/>
          </w:tcPr>
          <w:p w14:paraId="52969E07"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Kvemo-Kartli/ Imereti</w:t>
            </w:r>
          </w:p>
        </w:tc>
        <w:tc>
          <w:tcPr>
            <w:tcW w:w="2127" w:type="dxa"/>
            <w:hideMark/>
          </w:tcPr>
          <w:p w14:paraId="7739652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Owner</w:t>
            </w:r>
          </w:p>
        </w:tc>
        <w:tc>
          <w:tcPr>
            <w:tcW w:w="1929" w:type="dxa"/>
            <w:noWrap/>
            <w:hideMark/>
          </w:tcPr>
          <w:p w14:paraId="6FEB9277"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Zurab Getsadze</w:t>
            </w:r>
          </w:p>
        </w:tc>
      </w:tr>
      <w:tr w:rsidR="00B9071F" w:rsidRPr="00E53977" w14:paraId="5F770A17"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3E6CDC93" w14:textId="77777777" w:rsidR="00B9071F" w:rsidRPr="00E53977" w:rsidRDefault="00B9071F" w:rsidP="002771FB">
            <w:pPr>
              <w:pStyle w:val="NoSpacing"/>
              <w:widowControl w:val="0"/>
              <w:rPr>
                <w:color w:val="000000"/>
                <w:sz w:val="20"/>
                <w:szCs w:val="20"/>
              </w:rPr>
            </w:pPr>
            <w:r w:rsidRPr="00E53977">
              <w:rPr>
                <w:color w:val="000000"/>
                <w:sz w:val="20"/>
                <w:szCs w:val="20"/>
              </w:rPr>
              <w:t>9</w:t>
            </w:r>
          </w:p>
        </w:tc>
        <w:tc>
          <w:tcPr>
            <w:tcW w:w="2012" w:type="dxa"/>
            <w:noWrap/>
            <w:hideMark/>
          </w:tcPr>
          <w:p w14:paraId="7156D99A"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Former EPF Youth Committee Member</w:t>
            </w:r>
          </w:p>
        </w:tc>
        <w:tc>
          <w:tcPr>
            <w:tcW w:w="3118" w:type="dxa"/>
            <w:noWrap/>
            <w:hideMark/>
          </w:tcPr>
          <w:p w14:paraId="2BE6DFD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Participant in Food Safety Training</w:t>
            </w:r>
          </w:p>
        </w:tc>
        <w:tc>
          <w:tcPr>
            <w:tcW w:w="2127" w:type="dxa"/>
            <w:hideMark/>
          </w:tcPr>
          <w:p w14:paraId="5326B89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Student</w:t>
            </w:r>
          </w:p>
        </w:tc>
        <w:tc>
          <w:tcPr>
            <w:tcW w:w="1929" w:type="dxa"/>
            <w:hideMark/>
          </w:tcPr>
          <w:p w14:paraId="0F843F2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Ana Akopashvili</w:t>
            </w:r>
          </w:p>
        </w:tc>
      </w:tr>
      <w:tr w:rsidR="00B9071F" w:rsidRPr="00E53977" w14:paraId="4CA0E75B"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74CAEF2A" w14:textId="77777777" w:rsidR="00B9071F" w:rsidRPr="00E53977" w:rsidRDefault="00B9071F" w:rsidP="002771FB">
            <w:pPr>
              <w:pStyle w:val="NoSpacing"/>
              <w:widowControl w:val="0"/>
              <w:rPr>
                <w:color w:val="000000"/>
                <w:sz w:val="20"/>
                <w:szCs w:val="20"/>
              </w:rPr>
            </w:pPr>
            <w:r w:rsidRPr="00E53977">
              <w:rPr>
                <w:color w:val="000000"/>
                <w:sz w:val="20"/>
                <w:szCs w:val="20"/>
              </w:rPr>
              <w:t>10</w:t>
            </w:r>
          </w:p>
        </w:tc>
        <w:tc>
          <w:tcPr>
            <w:tcW w:w="2012" w:type="dxa"/>
            <w:noWrap/>
            <w:hideMark/>
          </w:tcPr>
          <w:p w14:paraId="28462428"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Former EPF Youth Committee Member</w:t>
            </w:r>
          </w:p>
        </w:tc>
        <w:tc>
          <w:tcPr>
            <w:tcW w:w="3118" w:type="dxa"/>
            <w:noWrap/>
            <w:hideMark/>
          </w:tcPr>
          <w:p w14:paraId="25E5DCC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Participant in Food Safety Training</w:t>
            </w:r>
          </w:p>
        </w:tc>
        <w:tc>
          <w:tcPr>
            <w:tcW w:w="2127" w:type="dxa"/>
            <w:hideMark/>
          </w:tcPr>
          <w:p w14:paraId="7E53E51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Student</w:t>
            </w:r>
          </w:p>
        </w:tc>
        <w:tc>
          <w:tcPr>
            <w:tcW w:w="1929" w:type="dxa"/>
            <w:hideMark/>
          </w:tcPr>
          <w:p w14:paraId="73883D3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Ana Besiashvili</w:t>
            </w:r>
          </w:p>
        </w:tc>
      </w:tr>
      <w:tr w:rsidR="00B9071F" w:rsidRPr="00E53977" w14:paraId="6AF5073C"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53D86473" w14:textId="77777777" w:rsidR="00B9071F" w:rsidRPr="00E53977" w:rsidRDefault="00B9071F" w:rsidP="002771FB">
            <w:pPr>
              <w:pStyle w:val="NoSpacing"/>
              <w:widowControl w:val="0"/>
              <w:rPr>
                <w:color w:val="000000"/>
                <w:sz w:val="20"/>
                <w:szCs w:val="20"/>
              </w:rPr>
            </w:pPr>
            <w:r w:rsidRPr="00E53977">
              <w:rPr>
                <w:color w:val="000000"/>
                <w:sz w:val="20"/>
                <w:szCs w:val="20"/>
              </w:rPr>
              <w:t>11</w:t>
            </w:r>
          </w:p>
        </w:tc>
        <w:tc>
          <w:tcPr>
            <w:tcW w:w="2012" w:type="dxa"/>
            <w:noWrap/>
            <w:hideMark/>
          </w:tcPr>
          <w:p w14:paraId="2F927A2D"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Former EPF Youth Committee Member</w:t>
            </w:r>
          </w:p>
        </w:tc>
        <w:tc>
          <w:tcPr>
            <w:tcW w:w="3118" w:type="dxa"/>
            <w:noWrap/>
            <w:hideMark/>
          </w:tcPr>
          <w:p w14:paraId="2165E77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Participant in Food Safety Training</w:t>
            </w:r>
          </w:p>
        </w:tc>
        <w:tc>
          <w:tcPr>
            <w:tcW w:w="2127" w:type="dxa"/>
            <w:hideMark/>
          </w:tcPr>
          <w:p w14:paraId="5D6E89C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Student</w:t>
            </w:r>
          </w:p>
        </w:tc>
        <w:tc>
          <w:tcPr>
            <w:tcW w:w="1929" w:type="dxa"/>
            <w:hideMark/>
          </w:tcPr>
          <w:p w14:paraId="74A7F87F"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 xml:space="preserve">Nutsa Abalaki </w:t>
            </w:r>
          </w:p>
        </w:tc>
      </w:tr>
      <w:tr w:rsidR="00B9071F" w:rsidRPr="00E53977" w14:paraId="5FB6445E"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5523869A" w14:textId="77777777" w:rsidR="00B9071F" w:rsidRPr="00E53977" w:rsidRDefault="00B9071F" w:rsidP="002771FB">
            <w:pPr>
              <w:pStyle w:val="NoSpacing"/>
              <w:widowControl w:val="0"/>
              <w:rPr>
                <w:color w:val="000000"/>
                <w:sz w:val="20"/>
                <w:szCs w:val="20"/>
              </w:rPr>
            </w:pPr>
            <w:r w:rsidRPr="00E53977">
              <w:rPr>
                <w:color w:val="000000"/>
                <w:sz w:val="20"/>
                <w:szCs w:val="20"/>
              </w:rPr>
              <w:t>12</w:t>
            </w:r>
          </w:p>
        </w:tc>
        <w:tc>
          <w:tcPr>
            <w:tcW w:w="2012" w:type="dxa"/>
            <w:noWrap/>
            <w:hideMark/>
          </w:tcPr>
          <w:p w14:paraId="4EEF9AE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Former EPF Youth Committee Member</w:t>
            </w:r>
          </w:p>
        </w:tc>
        <w:tc>
          <w:tcPr>
            <w:tcW w:w="3118" w:type="dxa"/>
            <w:noWrap/>
            <w:hideMark/>
          </w:tcPr>
          <w:p w14:paraId="5915C13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Participant in Food Safety Training</w:t>
            </w:r>
          </w:p>
        </w:tc>
        <w:tc>
          <w:tcPr>
            <w:tcW w:w="2127" w:type="dxa"/>
            <w:hideMark/>
          </w:tcPr>
          <w:p w14:paraId="32A34C01"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Student</w:t>
            </w:r>
          </w:p>
        </w:tc>
        <w:tc>
          <w:tcPr>
            <w:tcW w:w="1929" w:type="dxa"/>
            <w:hideMark/>
          </w:tcPr>
          <w:p w14:paraId="3DA78C18"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Tornike Budedashvili</w:t>
            </w:r>
          </w:p>
        </w:tc>
      </w:tr>
      <w:tr w:rsidR="00B9071F" w:rsidRPr="00E53977" w14:paraId="09061F69"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6E69A735" w14:textId="77777777" w:rsidR="00B9071F" w:rsidRPr="00E53977" w:rsidRDefault="00B9071F" w:rsidP="002771FB">
            <w:pPr>
              <w:pStyle w:val="NoSpacing"/>
              <w:widowControl w:val="0"/>
              <w:rPr>
                <w:color w:val="000000"/>
                <w:sz w:val="20"/>
                <w:szCs w:val="20"/>
              </w:rPr>
            </w:pPr>
            <w:r w:rsidRPr="00E53977">
              <w:rPr>
                <w:color w:val="000000"/>
                <w:sz w:val="20"/>
                <w:szCs w:val="20"/>
              </w:rPr>
              <w:t>13</w:t>
            </w:r>
          </w:p>
        </w:tc>
        <w:tc>
          <w:tcPr>
            <w:tcW w:w="2012" w:type="dxa"/>
            <w:noWrap/>
            <w:hideMark/>
          </w:tcPr>
          <w:p w14:paraId="66408D0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Former EPF Youth Committee Member</w:t>
            </w:r>
          </w:p>
        </w:tc>
        <w:tc>
          <w:tcPr>
            <w:tcW w:w="3118" w:type="dxa"/>
            <w:noWrap/>
            <w:hideMark/>
          </w:tcPr>
          <w:p w14:paraId="556EE0E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Participant in Food Safety Training</w:t>
            </w:r>
          </w:p>
        </w:tc>
        <w:tc>
          <w:tcPr>
            <w:tcW w:w="2127" w:type="dxa"/>
            <w:hideMark/>
          </w:tcPr>
          <w:p w14:paraId="19B6702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Student</w:t>
            </w:r>
          </w:p>
        </w:tc>
        <w:tc>
          <w:tcPr>
            <w:tcW w:w="1929" w:type="dxa"/>
            <w:hideMark/>
          </w:tcPr>
          <w:p w14:paraId="06F8920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Mariam Baindurashvili</w:t>
            </w:r>
          </w:p>
        </w:tc>
      </w:tr>
      <w:tr w:rsidR="00B9071F" w:rsidRPr="00E53977" w14:paraId="42A8B309"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4AEFB9F7" w14:textId="77777777" w:rsidR="00B9071F" w:rsidRPr="00E53977" w:rsidRDefault="00B9071F" w:rsidP="002771FB">
            <w:pPr>
              <w:pStyle w:val="NoSpacing"/>
              <w:widowControl w:val="0"/>
              <w:rPr>
                <w:color w:val="000000"/>
                <w:sz w:val="20"/>
                <w:szCs w:val="20"/>
              </w:rPr>
            </w:pPr>
            <w:r w:rsidRPr="00E53977">
              <w:rPr>
                <w:color w:val="000000"/>
                <w:sz w:val="20"/>
                <w:szCs w:val="20"/>
              </w:rPr>
              <w:t>14</w:t>
            </w:r>
          </w:p>
        </w:tc>
        <w:tc>
          <w:tcPr>
            <w:tcW w:w="2012" w:type="dxa"/>
            <w:hideMark/>
          </w:tcPr>
          <w:p w14:paraId="69BE02C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GWP</w:t>
            </w:r>
          </w:p>
        </w:tc>
        <w:tc>
          <w:tcPr>
            <w:tcW w:w="3118" w:type="dxa"/>
            <w:hideMark/>
          </w:tcPr>
          <w:p w14:paraId="397CB80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Administration</w:t>
            </w:r>
          </w:p>
        </w:tc>
        <w:tc>
          <w:tcPr>
            <w:tcW w:w="2127" w:type="dxa"/>
            <w:hideMark/>
          </w:tcPr>
          <w:p w14:paraId="00ABA49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General Director</w:t>
            </w:r>
          </w:p>
        </w:tc>
        <w:tc>
          <w:tcPr>
            <w:tcW w:w="1929" w:type="dxa"/>
            <w:hideMark/>
          </w:tcPr>
          <w:p w14:paraId="53D58DAB"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George Tskhadadze</w:t>
            </w:r>
          </w:p>
        </w:tc>
      </w:tr>
      <w:tr w:rsidR="00B9071F" w:rsidRPr="00E53977" w14:paraId="5E41F2E4"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5CE9445F" w14:textId="77777777" w:rsidR="00B9071F" w:rsidRPr="00E53977" w:rsidRDefault="00B9071F" w:rsidP="002771FB">
            <w:pPr>
              <w:pStyle w:val="NoSpacing"/>
              <w:widowControl w:val="0"/>
              <w:rPr>
                <w:color w:val="000000"/>
                <w:sz w:val="20"/>
                <w:szCs w:val="20"/>
              </w:rPr>
            </w:pPr>
            <w:r w:rsidRPr="00E53977">
              <w:rPr>
                <w:color w:val="000000"/>
                <w:sz w:val="20"/>
                <w:szCs w:val="20"/>
              </w:rPr>
              <w:t>15</w:t>
            </w:r>
          </w:p>
        </w:tc>
        <w:tc>
          <w:tcPr>
            <w:tcW w:w="2012" w:type="dxa"/>
            <w:hideMark/>
          </w:tcPr>
          <w:p w14:paraId="7BF0E41F"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GWP</w:t>
            </w:r>
          </w:p>
        </w:tc>
        <w:tc>
          <w:tcPr>
            <w:tcW w:w="3118" w:type="dxa"/>
            <w:hideMark/>
          </w:tcPr>
          <w:p w14:paraId="636C83E1"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Administration</w:t>
            </w:r>
          </w:p>
        </w:tc>
        <w:tc>
          <w:tcPr>
            <w:tcW w:w="2127" w:type="dxa"/>
            <w:hideMark/>
          </w:tcPr>
          <w:p w14:paraId="550C2A1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 of Laboratory</w:t>
            </w:r>
          </w:p>
        </w:tc>
        <w:tc>
          <w:tcPr>
            <w:tcW w:w="1929" w:type="dxa"/>
            <w:hideMark/>
          </w:tcPr>
          <w:p w14:paraId="4EB704DA"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Tamar Nikuradze</w:t>
            </w:r>
          </w:p>
        </w:tc>
      </w:tr>
      <w:tr w:rsidR="00B9071F" w:rsidRPr="00E53977" w14:paraId="1BA31D76"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230FEA8C" w14:textId="77777777" w:rsidR="00B9071F" w:rsidRPr="00E53977" w:rsidRDefault="00B9071F" w:rsidP="002771FB">
            <w:pPr>
              <w:pStyle w:val="NoSpacing"/>
              <w:widowControl w:val="0"/>
              <w:rPr>
                <w:color w:val="000000"/>
                <w:sz w:val="20"/>
                <w:szCs w:val="20"/>
              </w:rPr>
            </w:pPr>
            <w:r w:rsidRPr="00E53977">
              <w:rPr>
                <w:color w:val="000000"/>
                <w:sz w:val="20"/>
                <w:szCs w:val="20"/>
              </w:rPr>
              <w:t>16</w:t>
            </w:r>
          </w:p>
        </w:tc>
        <w:tc>
          <w:tcPr>
            <w:tcW w:w="2012" w:type="dxa"/>
            <w:hideMark/>
          </w:tcPr>
          <w:p w14:paraId="34A5CEE8"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I/E Badri Gogoladze</w:t>
            </w:r>
          </w:p>
        </w:tc>
        <w:tc>
          <w:tcPr>
            <w:tcW w:w="3118" w:type="dxa"/>
            <w:hideMark/>
          </w:tcPr>
          <w:p w14:paraId="57FF702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Cheese Producer</w:t>
            </w:r>
          </w:p>
        </w:tc>
        <w:tc>
          <w:tcPr>
            <w:tcW w:w="2127" w:type="dxa"/>
            <w:hideMark/>
          </w:tcPr>
          <w:p w14:paraId="7D7E41C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Owner</w:t>
            </w:r>
          </w:p>
        </w:tc>
        <w:tc>
          <w:tcPr>
            <w:tcW w:w="1929" w:type="dxa"/>
            <w:hideMark/>
          </w:tcPr>
          <w:p w14:paraId="6FAEB00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Badri Gogoladze</w:t>
            </w:r>
          </w:p>
        </w:tc>
      </w:tr>
      <w:tr w:rsidR="00B9071F" w:rsidRPr="00E53977" w14:paraId="2A465D86"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5BADFE86" w14:textId="77777777" w:rsidR="00B9071F" w:rsidRPr="00E53977" w:rsidRDefault="00B9071F" w:rsidP="002771FB">
            <w:pPr>
              <w:pStyle w:val="NoSpacing"/>
              <w:widowControl w:val="0"/>
              <w:rPr>
                <w:color w:val="000000"/>
                <w:sz w:val="20"/>
                <w:szCs w:val="20"/>
              </w:rPr>
            </w:pPr>
            <w:r w:rsidRPr="00E53977">
              <w:rPr>
                <w:color w:val="000000"/>
                <w:sz w:val="20"/>
                <w:szCs w:val="20"/>
              </w:rPr>
              <w:t>17</w:t>
            </w:r>
          </w:p>
        </w:tc>
        <w:tc>
          <w:tcPr>
            <w:tcW w:w="2012" w:type="dxa"/>
            <w:hideMark/>
          </w:tcPr>
          <w:p w14:paraId="3D0A3F8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MEPA</w:t>
            </w:r>
          </w:p>
        </w:tc>
        <w:tc>
          <w:tcPr>
            <w:tcW w:w="3118" w:type="dxa"/>
            <w:hideMark/>
          </w:tcPr>
          <w:p w14:paraId="4D3430FA"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Food safety, Finance, Cooperative agency</w:t>
            </w:r>
          </w:p>
        </w:tc>
        <w:tc>
          <w:tcPr>
            <w:tcW w:w="2127" w:type="dxa"/>
            <w:hideMark/>
          </w:tcPr>
          <w:p w14:paraId="6647C83A"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 xml:space="preserve">Deputy Minister </w:t>
            </w:r>
          </w:p>
        </w:tc>
        <w:tc>
          <w:tcPr>
            <w:tcW w:w="1929" w:type="dxa"/>
            <w:hideMark/>
          </w:tcPr>
          <w:p w14:paraId="6AD93801"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George Khanishvili</w:t>
            </w:r>
          </w:p>
        </w:tc>
      </w:tr>
      <w:tr w:rsidR="00B9071F" w:rsidRPr="00E53977" w14:paraId="6AEDB61A"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687EAB87" w14:textId="77777777" w:rsidR="00B9071F" w:rsidRPr="00E53977" w:rsidRDefault="00B9071F" w:rsidP="002771FB">
            <w:pPr>
              <w:pStyle w:val="NoSpacing"/>
              <w:widowControl w:val="0"/>
              <w:rPr>
                <w:color w:val="000000"/>
                <w:sz w:val="20"/>
                <w:szCs w:val="20"/>
              </w:rPr>
            </w:pPr>
            <w:r w:rsidRPr="00E53977">
              <w:rPr>
                <w:color w:val="000000"/>
                <w:sz w:val="20"/>
                <w:szCs w:val="20"/>
              </w:rPr>
              <w:t>18</w:t>
            </w:r>
          </w:p>
        </w:tc>
        <w:tc>
          <w:tcPr>
            <w:tcW w:w="2012" w:type="dxa"/>
            <w:hideMark/>
          </w:tcPr>
          <w:p w14:paraId="5E874FA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MEPA</w:t>
            </w:r>
          </w:p>
        </w:tc>
        <w:tc>
          <w:tcPr>
            <w:tcW w:w="3118" w:type="dxa"/>
            <w:hideMark/>
          </w:tcPr>
          <w:p w14:paraId="0808A6C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Euro Integration Department</w:t>
            </w:r>
          </w:p>
        </w:tc>
        <w:tc>
          <w:tcPr>
            <w:tcW w:w="2127" w:type="dxa"/>
            <w:hideMark/>
          </w:tcPr>
          <w:p w14:paraId="4EF398C1"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w:t>
            </w:r>
          </w:p>
        </w:tc>
        <w:tc>
          <w:tcPr>
            <w:tcW w:w="1929" w:type="dxa"/>
            <w:hideMark/>
          </w:tcPr>
          <w:p w14:paraId="72380A3D"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Lasha Inauri</w:t>
            </w:r>
          </w:p>
        </w:tc>
      </w:tr>
      <w:tr w:rsidR="00B9071F" w:rsidRPr="00E53977" w14:paraId="3B5E72FE"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3C6FEBAC" w14:textId="77777777" w:rsidR="00B9071F" w:rsidRPr="00E53977" w:rsidRDefault="00B9071F" w:rsidP="002771FB">
            <w:pPr>
              <w:pStyle w:val="NoSpacing"/>
              <w:widowControl w:val="0"/>
              <w:rPr>
                <w:color w:val="000000"/>
                <w:sz w:val="20"/>
                <w:szCs w:val="20"/>
              </w:rPr>
            </w:pPr>
            <w:r w:rsidRPr="00E53977">
              <w:rPr>
                <w:color w:val="000000"/>
                <w:sz w:val="20"/>
                <w:szCs w:val="20"/>
              </w:rPr>
              <w:t>19</w:t>
            </w:r>
          </w:p>
        </w:tc>
        <w:tc>
          <w:tcPr>
            <w:tcW w:w="2012" w:type="dxa"/>
            <w:hideMark/>
          </w:tcPr>
          <w:p w14:paraId="2CB0F27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MEPA</w:t>
            </w:r>
          </w:p>
        </w:tc>
        <w:tc>
          <w:tcPr>
            <w:tcW w:w="3118" w:type="dxa"/>
            <w:hideMark/>
          </w:tcPr>
          <w:p w14:paraId="1B517B1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Scientific Research Center, Risk Assessment</w:t>
            </w:r>
          </w:p>
        </w:tc>
        <w:tc>
          <w:tcPr>
            <w:tcW w:w="2127" w:type="dxa"/>
            <w:hideMark/>
          </w:tcPr>
          <w:p w14:paraId="1FEB26DA"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w:t>
            </w:r>
          </w:p>
        </w:tc>
        <w:tc>
          <w:tcPr>
            <w:tcW w:w="1929" w:type="dxa"/>
            <w:hideMark/>
          </w:tcPr>
          <w:p w14:paraId="1B3E2D5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 xml:space="preserve">Maia Metreveli </w:t>
            </w:r>
          </w:p>
        </w:tc>
      </w:tr>
      <w:tr w:rsidR="00B9071F" w:rsidRPr="00E53977" w14:paraId="4B5FFFD3"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316E54F0" w14:textId="77777777" w:rsidR="00B9071F" w:rsidRPr="00E53977" w:rsidRDefault="00B9071F" w:rsidP="002771FB">
            <w:pPr>
              <w:pStyle w:val="NoSpacing"/>
              <w:widowControl w:val="0"/>
              <w:rPr>
                <w:color w:val="000000"/>
                <w:sz w:val="20"/>
                <w:szCs w:val="20"/>
              </w:rPr>
            </w:pPr>
            <w:r w:rsidRPr="00E53977">
              <w:rPr>
                <w:color w:val="000000"/>
                <w:sz w:val="20"/>
                <w:szCs w:val="20"/>
              </w:rPr>
              <w:t>20</w:t>
            </w:r>
          </w:p>
        </w:tc>
        <w:tc>
          <w:tcPr>
            <w:tcW w:w="2012" w:type="dxa"/>
            <w:hideMark/>
          </w:tcPr>
          <w:p w14:paraId="70BD4CC8"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MEPA</w:t>
            </w:r>
          </w:p>
        </w:tc>
        <w:tc>
          <w:tcPr>
            <w:tcW w:w="3118" w:type="dxa"/>
            <w:hideMark/>
          </w:tcPr>
          <w:p w14:paraId="29378D71"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 xml:space="preserve">Scientific Research Center, Scientific Consultative Council </w:t>
            </w:r>
          </w:p>
        </w:tc>
        <w:tc>
          <w:tcPr>
            <w:tcW w:w="2127" w:type="dxa"/>
            <w:hideMark/>
          </w:tcPr>
          <w:p w14:paraId="5339FA6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Advisor</w:t>
            </w:r>
          </w:p>
        </w:tc>
        <w:tc>
          <w:tcPr>
            <w:tcW w:w="1929" w:type="dxa"/>
            <w:hideMark/>
          </w:tcPr>
          <w:p w14:paraId="7247E66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Zurab Tskitishvili</w:t>
            </w:r>
          </w:p>
        </w:tc>
      </w:tr>
      <w:tr w:rsidR="00B9071F" w:rsidRPr="00E53977" w14:paraId="3F7ED3F0"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3CE610DA" w14:textId="77777777" w:rsidR="00B9071F" w:rsidRPr="00E53977" w:rsidRDefault="00B9071F" w:rsidP="002771FB">
            <w:pPr>
              <w:pStyle w:val="NoSpacing"/>
              <w:widowControl w:val="0"/>
              <w:rPr>
                <w:color w:val="000000"/>
                <w:sz w:val="20"/>
                <w:szCs w:val="20"/>
              </w:rPr>
            </w:pPr>
            <w:r w:rsidRPr="00E53977">
              <w:rPr>
                <w:color w:val="000000"/>
                <w:sz w:val="20"/>
                <w:szCs w:val="20"/>
              </w:rPr>
              <w:t>21</w:t>
            </w:r>
          </w:p>
        </w:tc>
        <w:tc>
          <w:tcPr>
            <w:tcW w:w="2012" w:type="dxa"/>
            <w:hideMark/>
          </w:tcPr>
          <w:p w14:paraId="612154CF"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MEPA</w:t>
            </w:r>
          </w:p>
        </w:tc>
        <w:tc>
          <w:tcPr>
            <w:tcW w:w="3118" w:type="dxa"/>
            <w:hideMark/>
          </w:tcPr>
          <w:p w14:paraId="56BF6C5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Agricultural Cooperative Development Agency</w:t>
            </w:r>
          </w:p>
        </w:tc>
        <w:tc>
          <w:tcPr>
            <w:tcW w:w="2127" w:type="dxa"/>
            <w:hideMark/>
          </w:tcPr>
          <w:p w14:paraId="08ABB84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 of Agency</w:t>
            </w:r>
          </w:p>
        </w:tc>
        <w:tc>
          <w:tcPr>
            <w:tcW w:w="1929" w:type="dxa"/>
            <w:hideMark/>
          </w:tcPr>
          <w:p w14:paraId="3EC8FC2B"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 xml:space="preserve">George Misheladze </w:t>
            </w:r>
          </w:p>
        </w:tc>
      </w:tr>
      <w:tr w:rsidR="00B9071F" w:rsidRPr="00E53977" w14:paraId="545D4BEB"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7F95819D" w14:textId="77777777" w:rsidR="00B9071F" w:rsidRPr="00E53977" w:rsidRDefault="00B9071F" w:rsidP="002771FB">
            <w:pPr>
              <w:pStyle w:val="NoSpacing"/>
              <w:widowControl w:val="0"/>
              <w:rPr>
                <w:color w:val="000000"/>
                <w:sz w:val="20"/>
                <w:szCs w:val="20"/>
              </w:rPr>
            </w:pPr>
            <w:r w:rsidRPr="00E53977">
              <w:rPr>
                <w:color w:val="000000"/>
                <w:sz w:val="20"/>
                <w:szCs w:val="20"/>
              </w:rPr>
              <w:t>22</w:t>
            </w:r>
          </w:p>
        </w:tc>
        <w:tc>
          <w:tcPr>
            <w:tcW w:w="2012" w:type="dxa"/>
            <w:hideMark/>
          </w:tcPr>
          <w:p w14:paraId="259A65AA"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MEPA</w:t>
            </w:r>
          </w:p>
        </w:tc>
        <w:tc>
          <w:tcPr>
            <w:tcW w:w="3118" w:type="dxa"/>
            <w:hideMark/>
          </w:tcPr>
          <w:p w14:paraId="2F3AE787"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Agricultural Cooperative Development Agency</w:t>
            </w:r>
          </w:p>
        </w:tc>
        <w:tc>
          <w:tcPr>
            <w:tcW w:w="2127" w:type="dxa"/>
            <w:hideMark/>
          </w:tcPr>
          <w:p w14:paraId="01D0E57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Program Manager</w:t>
            </w:r>
          </w:p>
        </w:tc>
        <w:tc>
          <w:tcPr>
            <w:tcW w:w="1929" w:type="dxa"/>
            <w:hideMark/>
          </w:tcPr>
          <w:p w14:paraId="45FEA06D"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Kote Khutsaidze</w:t>
            </w:r>
          </w:p>
        </w:tc>
      </w:tr>
      <w:tr w:rsidR="00B9071F" w:rsidRPr="00E53977" w14:paraId="787DBF59"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1A364A71" w14:textId="77777777" w:rsidR="00B9071F" w:rsidRPr="00E53977" w:rsidRDefault="00B9071F" w:rsidP="002771FB">
            <w:pPr>
              <w:pStyle w:val="NoSpacing"/>
              <w:widowControl w:val="0"/>
              <w:rPr>
                <w:color w:val="000000"/>
                <w:sz w:val="20"/>
                <w:szCs w:val="20"/>
              </w:rPr>
            </w:pPr>
            <w:r w:rsidRPr="00E53977">
              <w:rPr>
                <w:color w:val="000000"/>
                <w:sz w:val="20"/>
                <w:szCs w:val="20"/>
              </w:rPr>
              <w:t>23</w:t>
            </w:r>
          </w:p>
        </w:tc>
        <w:tc>
          <w:tcPr>
            <w:tcW w:w="2012" w:type="dxa"/>
            <w:hideMark/>
          </w:tcPr>
          <w:p w14:paraId="2FD2A34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MEPA</w:t>
            </w:r>
          </w:p>
        </w:tc>
        <w:tc>
          <w:tcPr>
            <w:tcW w:w="3118" w:type="dxa"/>
            <w:hideMark/>
          </w:tcPr>
          <w:p w14:paraId="3ECD8BB1"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Agriculture and Food Department, Food Safety Working Group</w:t>
            </w:r>
          </w:p>
        </w:tc>
        <w:tc>
          <w:tcPr>
            <w:tcW w:w="2127" w:type="dxa"/>
            <w:hideMark/>
          </w:tcPr>
          <w:p w14:paraId="6E74DD0A"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Deputy Head of Department</w:t>
            </w:r>
          </w:p>
        </w:tc>
        <w:tc>
          <w:tcPr>
            <w:tcW w:w="1929" w:type="dxa"/>
            <w:noWrap/>
            <w:hideMark/>
          </w:tcPr>
          <w:p w14:paraId="1450BD6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Ketevan Laperashvili</w:t>
            </w:r>
          </w:p>
        </w:tc>
      </w:tr>
      <w:tr w:rsidR="00B9071F" w:rsidRPr="00E53977" w14:paraId="4A9786C6"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0B22B15F" w14:textId="77777777" w:rsidR="00B9071F" w:rsidRPr="00E53977" w:rsidRDefault="00B9071F" w:rsidP="002771FB">
            <w:pPr>
              <w:pStyle w:val="NoSpacing"/>
              <w:widowControl w:val="0"/>
              <w:rPr>
                <w:color w:val="000000"/>
                <w:sz w:val="20"/>
                <w:szCs w:val="20"/>
              </w:rPr>
            </w:pPr>
            <w:r w:rsidRPr="00E53977">
              <w:rPr>
                <w:color w:val="000000"/>
                <w:sz w:val="20"/>
                <w:szCs w:val="20"/>
              </w:rPr>
              <w:t>24</w:t>
            </w:r>
          </w:p>
        </w:tc>
        <w:tc>
          <w:tcPr>
            <w:tcW w:w="2012" w:type="dxa"/>
            <w:hideMark/>
          </w:tcPr>
          <w:p w14:paraId="4CFB3CB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MEPA</w:t>
            </w:r>
          </w:p>
        </w:tc>
        <w:tc>
          <w:tcPr>
            <w:tcW w:w="3118" w:type="dxa"/>
            <w:hideMark/>
          </w:tcPr>
          <w:p w14:paraId="5D54081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Agriculture and Food Department, Veterinary Working Group</w:t>
            </w:r>
          </w:p>
        </w:tc>
        <w:tc>
          <w:tcPr>
            <w:tcW w:w="2127" w:type="dxa"/>
            <w:hideMark/>
          </w:tcPr>
          <w:p w14:paraId="7BC790F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 of Division</w:t>
            </w:r>
          </w:p>
        </w:tc>
        <w:tc>
          <w:tcPr>
            <w:tcW w:w="1929" w:type="dxa"/>
            <w:noWrap/>
            <w:hideMark/>
          </w:tcPr>
          <w:p w14:paraId="3210D3BB"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Maia Beruashvili</w:t>
            </w:r>
          </w:p>
        </w:tc>
      </w:tr>
      <w:tr w:rsidR="00B9071F" w:rsidRPr="00E53977" w14:paraId="5EFE1194"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321A2B9A" w14:textId="77777777" w:rsidR="00B9071F" w:rsidRPr="00E53977" w:rsidRDefault="00B9071F" w:rsidP="002771FB">
            <w:pPr>
              <w:pStyle w:val="NoSpacing"/>
              <w:widowControl w:val="0"/>
              <w:rPr>
                <w:color w:val="000000"/>
                <w:sz w:val="20"/>
                <w:szCs w:val="20"/>
              </w:rPr>
            </w:pPr>
            <w:r w:rsidRPr="00E53977">
              <w:rPr>
                <w:color w:val="000000"/>
                <w:sz w:val="20"/>
                <w:szCs w:val="20"/>
              </w:rPr>
              <w:t>25</w:t>
            </w:r>
          </w:p>
        </w:tc>
        <w:tc>
          <w:tcPr>
            <w:tcW w:w="2012" w:type="dxa"/>
            <w:hideMark/>
          </w:tcPr>
          <w:p w14:paraId="31078C5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MEPA</w:t>
            </w:r>
          </w:p>
        </w:tc>
        <w:tc>
          <w:tcPr>
            <w:tcW w:w="3118" w:type="dxa"/>
            <w:hideMark/>
          </w:tcPr>
          <w:p w14:paraId="099F8D7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Agriculture and Food Department, Phyto Sanitary Working Group</w:t>
            </w:r>
          </w:p>
        </w:tc>
        <w:tc>
          <w:tcPr>
            <w:tcW w:w="2127" w:type="dxa"/>
            <w:hideMark/>
          </w:tcPr>
          <w:p w14:paraId="4903005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 of Division</w:t>
            </w:r>
          </w:p>
        </w:tc>
        <w:tc>
          <w:tcPr>
            <w:tcW w:w="1929" w:type="dxa"/>
            <w:noWrap/>
            <w:hideMark/>
          </w:tcPr>
          <w:p w14:paraId="1331225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Manana Gabruashvili</w:t>
            </w:r>
          </w:p>
        </w:tc>
      </w:tr>
      <w:tr w:rsidR="00B9071F" w:rsidRPr="00E53977" w14:paraId="7E82BE3D"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53F555A6" w14:textId="77777777" w:rsidR="00B9071F" w:rsidRPr="00E53977" w:rsidRDefault="00B9071F" w:rsidP="002771FB">
            <w:pPr>
              <w:pStyle w:val="NoSpacing"/>
              <w:widowControl w:val="0"/>
              <w:rPr>
                <w:color w:val="000000"/>
                <w:sz w:val="20"/>
                <w:szCs w:val="20"/>
              </w:rPr>
            </w:pPr>
            <w:r w:rsidRPr="00E53977">
              <w:rPr>
                <w:color w:val="000000"/>
                <w:sz w:val="20"/>
                <w:szCs w:val="20"/>
              </w:rPr>
              <w:t>26</w:t>
            </w:r>
          </w:p>
        </w:tc>
        <w:tc>
          <w:tcPr>
            <w:tcW w:w="2012" w:type="dxa"/>
            <w:hideMark/>
          </w:tcPr>
          <w:p w14:paraId="05E396F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MEPA</w:t>
            </w:r>
          </w:p>
        </w:tc>
        <w:tc>
          <w:tcPr>
            <w:tcW w:w="3118" w:type="dxa"/>
            <w:hideMark/>
          </w:tcPr>
          <w:p w14:paraId="0722B35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LMA</w:t>
            </w:r>
          </w:p>
        </w:tc>
        <w:tc>
          <w:tcPr>
            <w:tcW w:w="2127" w:type="dxa"/>
            <w:hideMark/>
          </w:tcPr>
          <w:p w14:paraId="5947840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Director</w:t>
            </w:r>
          </w:p>
        </w:tc>
        <w:tc>
          <w:tcPr>
            <w:tcW w:w="1929" w:type="dxa"/>
            <w:hideMark/>
          </w:tcPr>
          <w:p w14:paraId="27A19FF8"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Irakli Guledani</w:t>
            </w:r>
          </w:p>
        </w:tc>
      </w:tr>
      <w:tr w:rsidR="00B9071F" w:rsidRPr="00E53977" w14:paraId="618C929B"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78C91F7F" w14:textId="77777777" w:rsidR="00B9071F" w:rsidRPr="00E53977" w:rsidRDefault="00B9071F" w:rsidP="002771FB">
            <w:pPr>
              <w:pStyle w:val="NoSpacing"/>
              <w:widowControl w:val="0"/>
              <w:rPr>
                <w:color w:val="000000"/>
                <w:sz w:val="20"/>
                <w:szCs w:val="20"/>
              </w:rPr>
            </w:pPr>
            <w:r w:rsidRPr="00E53977">
              <w:rPr>
                <w:color w:val="000000"/>
                <w:sz w:val="20"/>
                <w:szCs w:val="20"/>
              </w:rPr>
              <w:t>27</w:t>
            </w:r>
          </w:p>
        </w:tc>
        <w:tc>
          <w:tcPr>
            <w:tcW w:w="2012" w:type="dxa"/>
            <w:hideMark/>
          </w:tcPr>
          <w:p w14:paraId="56CA365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MEPA</w:t>
            </w:r>
          </w:p>
        </w:tc>
        <w:tc>
          <w:tcPr>
            <w:tcW w:w="3118" w:type="dxa"/>
            <w:hideMark/>
          </w:tcPr>
          <w:p w14:paraId="26943E91"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LMA</w:t>
            </w:r>
          </w:p>
        </w:tc>
        <w:tc>
          <w:tcPr>
            <w:tcW w:w="2127" w:type="dxa"/>
            <w:hideMark/>
          </w:tcPr>
          <w:p w14:paraId="2030FDAB"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Deputy Director</w:t>
            </w:r>
          </w:p>
        </w:tc>
        <w:tc>
          <w:tcPr>
            <w:tcW w:w="1929" w:type="dxa"/>
            <w:hideMark/>
          </w:tcPr>
          <w:p w14:paraId="12805D6B"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Ana Gulbani</w:t>
            </w:r>
          </w:p>
        </w:tc>
      </w:tr>
      <w:tr w:rsidR="00B9071F" w:rsidRPr="00E53977" w14:paraId="2B7A3947"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68E1421C" w14:textId="77777777" w:rsidR="00B9071F" w:rsidRPr="00E53977" w:rsidRDefault="00B9071F" w:rsidP="002771FB">
            <w:pPr>
              <w:pStyle w:val="NoSpacing"/>
              <w:widowControl w:val="0"/>
              <w:rPr>
                <w:color w:val="000000"/>
                <w:sz w:val="20"/>
                <w:szCs w:val="20"/>
              </w:rPr>
            </w:pPr>
            <w:r w:rsidRPr="00E53977">
              <w:rPr>
                <w:color w:val="000000"/>
                <w:sz w:val="20"/>
                <w:szCs w:val="20"/>
              </w:rPr>
              <w:t>28</w:t>
            </w:r>
          </w:p>
        </w:tc>
        <w:tc>
          <w:tcPr>
            <w:tcW w:w="2012" w:type="dxa"/>
            <w:hideMark/>
          </w:tcPr>
          <w:p w14:paraId="24B22B67"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MEPA</w:t>
            </w:r>
          </w:p>
        </w:tc>
        <w:tc>
          <w:tcPr>
            <w:tcW w:w="3118" w:type="dxa"/>
            <w:hideMark/>
          </w:tcPr>
          <w:p w14:paraId="6237D23A"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LMA</w:t>
            </w:r>
          </w:p>
        </w:tc>
        <w:tc>
          <w:tcPr>
            <w:tcW w:w="2127" w:type="dxa"/>
            <w:hideMark/>
          </w:tcPr>
          <w:p w14:paraId="1288E3A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Program Manager</w:t>
            </w:r>
          </w:p>
        </w:tc>
        <w:tc>
          <w:tcPr>
            <w:tcW w:w="1929" w:type="dxa"/>
            <w:hideMark/>
          </w:tcPr>
          <w:p w14:paraId="289306D7"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Ketevan Dadiani</w:t>
            </w:r>
          </w:p>
        </w:tc>
      </w:tr>
      <w:tr w:rsidR="00B9071F" w:rsidRPr="00E53977" w14:paraId="053B1923"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0AF42419" w14:textId="77777777" w:rsidR="00B9071F" w:rsidRPr="00E53977" w:rsidRDefault="00B9071F" w:rsidP="002771FB">
            <w:pPr>
              <w:pStyle w:val="NoSpacing"/>
              <w:widowControl w:val="0"/>
              <w:rPr>
                <w:color w:val="000000"/>
                <w:sz w:val="20"/>
                <w:szCs w:val="20"/>
              </w:rPr>
            </w:pPr>
            <w:r w:rsidRPr="00E53977">
              <w:rPr>
                <w:color w:val="000000"/>
                <w:sz w:val="20"/>
                <w:szCs w:val="20"/>
              </w:rPr>
              <w:t>29</w:t>
            </w:r>
          </w:p>
        </w:tc>
        <w:tc>
          <w:tcPr>
            <w:tcW w:w="2012" w:type="dxa"/>
            <w:hideMark/>
          </w:tcPr>
          <w:p w14:paraId="53199B9D"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 xml:space="preserve">Mercy Corps Alliances </w:t>
            </w:r>
          </w:p>
        </w:tc>
        <w:tc>
          <w:tcPr>
            <w:tcW w:w="3118" w:type="dxa"/>
            <w:hideMark/>
          </w:tcPr>
          <w:p w14:paraId="1873A94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Lesser Caucasus Programme in Kvemo Kartli</w:t>
            </w:r>
          </w:p>
        </w:tc>
        <w:tc>
          <w:tcPr>
            <w:tcW w:w="2127" w:type="dxa"/>
            <w:hideMark/>
          </w:tcPr>
          <w:p w14:paraId="2832016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Deputy Program Manager</w:t>
            </w:r>
          </w:p>
        </w:tc>
        <w:tc>
          <w:tcPr>
            <w:tcW w:w="1929" w:type="dxa"/>
            <w:noWrap/>
            <w:hideMark/>
          </w:tcPr>
          <w:p w14:paraId="216D9D5F"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Lela Kobakhidze</w:t>
            </w:r>
          </w:p>
        </w:tc>
      </w:tr>
      <w:tr w:rsidR="00B9071F" w:rsidRPr="00E53977" w14:paraId="4060551B"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473FFC1A" w14:textId="77777777" w:rsidR="00B9071F" w:rsidRPr="00E53977" w:rsidRDefault="00B9071F" w:rsidP="002771FB">
            <w:pPr>
              <w:pStyle w:val="NoSpacing"/>
              <w:widowControl w:val="0"/>
              <w:rPr>
                <w:color w:val="000000"/>
                <w:sz w:val="20"/>
                <w:szCs w:val="20"/>
              </w:rPr>
            </w:pPr>
            <w:r w:rsidRPr="00E53977">
              <w:rPr>
                <w:color w:val="000000"/>
                <w:sz w:val="20"/>
                <w:szCs w:val="20"/>
              </w:rPr>
              <w:t>30</w:t>
            </w:r>
          </w:p>
        </w:tc>
        <w:tc>
          <w:tcPr>
            <w:tcW w:w="2012" w:type="dxa"/>
            <w:hideMark/>
          </w:tcPr>
          <w:p w14:paraId="7CB7479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MoESD</w:t>
            </w:r>
          </w:p>
        </w:tc>
        <w:tc>
          <w:tcPr>
            <w:tcW w:w="3118" w:type="dxa"/>
            <w:hideMark/>
          </w:tcPr>
          <w:p w14:paraId="1E432788"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Georgian Accreditation Center</w:t>
            </w:r>
          </w:p>
        </w:tc>
        <w:tc>
          <w:tcPr>
            <w:tcW w:w="2127" w:type="dxa"/>
            <w:hideMark/>
          </w:tcPr>
          <w:p w14:paraId="115049A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 of Accreditation</w:t>
            </w:r>
            <w:r w:rsidRPr="00E53977">
              <w:rPr>
                <w:color w:val="000000"/>
                <w:sz w:val="20"/>
                <w:szCs w:val="20"/>
              </w:rPr>
              <w:br/>
              <w:t>and Surveillance Department</w:t>
            </w:r>
          </w:p>
        </w:tc>
        <w:tc>
          <w:tcPr>
            <w:tcW w:w="1929" w:type="dxa"/>
            <w:noWrap/>
            <w:hideMark/>
          </w:tcPr>
          <w:p w14:paraId="502541F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Nestan Mgeladze</w:t>
            </w:r>
          </w:p>
        </w:tc>
      </w:tr>
      <w:tr w:rsidR="00B9071F" w:rsidRPr="00E53977" w14:paraId="7A285346"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4AADC560" w14:textId="77777777" w:rsidR="00B9071F" w:rsidRPr="00E53977" w:rsidRDefault="00B9071F" w:rsidP="002771FB">
            <w:pPr>
              <w:pStyle w:val="NoSpacing"/>
              <w:widowControl w:val="0"/>
              <w:rPr>
                <w:color w:val="000000"/>
                <w:sz w:val="20"/>
                <w:szCs w:val="20"/>
              </w:rPr>
            </w:pPr>
            <w:r w:rsidRPr="00E53977">
              <w:rPr>
                <w:color w:val="000000"/>
                <w:sz w:val="20"/>
                <w:szCs w:val="20"/>
              </w:rPr>
              <w:t>31</w:t>
            </w:r>
          </w:p>
        </w:tc>
        <w:tc>
          <w:tcPr>
            <w:tcW w:w="2012" w:type="dxa"/>
            <w:hideMark/>
          </w:tcPr>
          <w:p w14:paraId="0779C22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Natadze Scientific and Research Institute of Sanitary, Hygiene and Medical Ecology</w:t>
            </w:r>
          </w:p>
        </w:tc>
        <w:tc>
          <w:tcPr>
            <w:tcW w:w="3118" w:type="dxa"/>
            <w:hideMark/>
          </w:tcPr>
          <w:p w14:paraId="651B0B11"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Laboratory</w:t>
            </w:r>
          </w:p>
        </w:tc>
        <w:tc>
          <w:tcPr>
            <w:tcW w:w="2127" w:type="dxa"/>
            <w:hideMark/>
          </w:tcPr>
          <w:p w14:paraId="5984796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Director</w:t>
            </w:r>
          </w:p>
        </w:tc>
        <w:tc>
          <w:tcPr>
            <w:tcW w:w="1929" w:type="dxa"/>
            <w:noWrap/>
            <w:hideMark/>
          </w:tcPr>
          <w:p w14:paraId="4A31F8F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Rezo Kobakhidze</w:t>
            </w:r>
          </w:p>
        </w:tc>
      </w:tr>
      <w:tr w:rsidR="00B9071F" w:rsidRPr="00E53977" w14:paraId="6FEE2539"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780F8BD4" w14:textId="77777777" w:rsidR="00B9071F" w:rsidRPr="00E53977" w:rsidRDefault="00B9071F" w:rsidP="002771FB">
            <w:pPr>
              <w:pStyle w:val="NoSpacing"/>
              <w:widowControl w:val="0"/>
              <w:rPr>
                <w:color w:val="000000"/>
                <w:sz w:val="20"/>
                <w:szCs w:val="20"/>
              </w:rPr>
            </w:pPr>
            <w:r w:rsidRPr="00E53977">
              <w:rPr>
                <w:color w:val="000000"/>
                <w:sz w:val="20"/>
                <w:szCs w:val="20"/>
              </w:rPr>
              <w:t>32</w:t>
            </w:r>
          </w:p>
        </w:tc>
        <w:tc>
          <w:tcPr>
            <w:tcW w:w="2012" w:type="dxa"/>
            <w:hideMark/>
          </w:tcPr>
          <w:p w14:paraId="0774375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NCDC</w:t>
            </w:r>
          </w:p>
        </w:tc>
        <w:tc>
          <w:tcPr>
            <w:tcW w:w="3118" w:type="dxa"/>
            <w:hideMark/>
          </w:tcPr>
          <w:p w14:paraId="107B805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Department of Infectious Diseases</w:t>
            </w:r>
          </w:p>
        </w:tc>
        <w:tc>
          <w:tcPr>
            <w:tcW w:w="2127" w:type="dxa"/>
            <w:hideMark/>
          </w:tcPr>
          <w:p w14:paraId="6CF72F8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Epidemiologist</w:t>
            </w:r>
          </w:p>
        </w:tc>
        <w:tc>
          <w:tcPr>
            <w:tcW w:w="1929" w:type="dxa"/>
            <w:hideMark/>
          </w:tcPr>
          <w:p w14:paraId="61E6D7B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Ana Aslanikashvili</w:t>
            </w:r>
            <w:r w:rsidRPr="00E53977">
              <w:rPr>
                <w:color w:val="000000"/>
                <w:sz w:val="20"/>
                <w:szCs w:val="20"/>
              </w:rPr>
              <w:br/>
            </w:r>
          </w:p>
        </w:tc>
      </w:tr>
      <w:tr w:rsidR="00B9071F" w:rsidRPr="00E53977" w14:paraId="7654E107"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1E17002F" w14:textId="77777777" w:rsidR="00B9071F" w:rsidRPr="00E53977" w:rsidRDefault="00B9071F" w:rsidP="002771FB">
            <w:pPr>
              <w:pStyle w:val="NoSpacing"/>
              <w:widowControl w:val="0"/>
              <w:rPr>
                <w:color w:val="000000"/>
                <w:sz w:val="20"/>
                <w:szCs w:val="20"/>
              </w:rPr>
            </w:pPr>
            <w:r w:rsidRPr="00E53977">
              <w:rPr>
                <w:color w:val="000000"/>
                <w:sz w:val="20"/>
                <w:szCs w:val="20"/>
              </w:rPr>
              <w:lastRenderedPageBreak/>
              <w:t>33</w:t>
            </w:r>
          </w:p>
        </w:tc>
        <w:tc>
          <w:tcPr>
            <w:tcW w:w="2012" w:type="dxa"/>
            <w:hideMark/>
          </w:tcPr>
          <w:p w14:paraId="736EC3F1"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NCDC</w:t>
            </w:r>
          </w:p>
        </w:tc>
        <w:tc>
          <w:tcPr>
            <w:tcW w:w="3118" w:type="dxa"/>
            <w:hideMark/>
          </w:tcPr>
          <w:p w14:paraId="7B5FEF9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Department of Infectious Diseases</w:t>
            </w:r>
          </w:p>
        </w:tc>
        <w:tc>
          <w:tcPr>
            <w:tcW w:w="2127" w:type="dxa"/>
            <w:hideMark/>
          </w:tcPr>
          <w:p w14:paraId="2A770AD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Foodborne Disease Specialist</w:t>
            </w:r>
          </w:p>
        </w:tc>
        <w:tc>
          <w:tcPr>
            <w:tcW w:w="1929" w:type="dxa"/>
            <w:hideMark/>
          </w:tcPr>
          <w:p w14:paraId="33E86AC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Marina Lashkarashvili</w:t>
            </w:r>
          </w:p>
        </w:tc>
      </w:tr>
      <w:tr w:rsidR="00B9071F" w:rsidRPr="00E53977" w14:paraId="4B82A200"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3149C51A" w14:textId="77777777" w:rsidR="00B9071F" w:rsidRPr="00E53977" w:rsidRDefault="00B9071F" w:rsidP="002771FB">
            <w:pPr>
              <w:pStyle w:val="NoSpacing"/>
              <w:widowControl w:val="0"/>
              <w:rPr>
                <w:color w:val="000000"/>
                <w:sz w:val="20"/>
                <w:szCs w:val="20"/>
              </w:rPr>
            </w:pPr>
            <w:r w:rsidRPr="00E53977">
              <w:rPr>
                <w:color w:val="000000"/>
                <w:sz w:val="20"/>
                <w:szCs w:val="20"/>
              </w:rPr>
              <w:t>34</w:t>
            </w:r>
          </w:p>
        </w:tc>
        <w:tc>
          <w:tcPr>
            <w:tcW w:w="2012" w:type="dxa"/>
            <w:hideMark/>
          </w:tcPr>
          <w:p w14:paraId="761B3E2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NCDC</w:t>
            </w:r>
          </w:p>
        </w:tc>
        <w:tc>
          <w:tcPr>
            <w:tcW w:w="3118" w:type="dxa"/>
            <w:hideMark/>
          </w:tcPr>
          <w:p w14:paraId="0E2C317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Department of Infectious Diseases</w:t>
            </w:r>
          </w:p>
        </w:tc>
        <w:tc>
          <w:tcPr>
            <w:tcW w:w="2127" w:type="dxa"/>
            <w:hideMark/>
          </w:tcPr>
          <w:p w14:paraId="507361A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Foodborne Disease Specialist</w:t>
            </w:r>
          </w:p>
        </w:tc>
        <w:tc>
          <w:tcPr>
            <w:tcW w:w="1929" w:type="dxa"/>
            <w:hideMark/>
          </w:tcPr>
          <w:p w14:paraId="757603F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Pikria Shavreshiani</w:t>
            </w:r>
          </w:p>
        </w:tc>
      </w:tr>
      <w:tr w:rsidR="00B9071F" w:rsidRPr="00E53977" w14:paraId="3D870D3D"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6D8DA54D" w14:textId="77777777" w:rsidR="00B9071F" w:rsidRPr="00E53977" w:rsidRDefault="00B9071F" w:rsidP="002771FB">
            <w:pPr>
              <w:pStyle w:val="NoSpacing"/>
              <w:widowControl w:val="0"/>
              <w:rPr>
                <w:color w:val="000000"/>
                <w:sz w:val="20"/>
                <w:szCs w:val="20"/>
              </w:rPr>
            </w:pPr>
            <w:r w:rsidRPr="00E53977">
              <w:rPr>
                <w:color w:val="000000"/>
                <w:sz w:val="20"/>
                <w:szCs w:val="20"/>
              </w:rPr>
              <w:t>35</w:t>
            </w:r>
          </w:p>
        </w:tc>
        <w:tc>
          <w:tcPr>
            <w:tcW w:w="2012" w:type="dxa"/>
            <w:hideMark/>
          </w:tcPr>
          <w:p w14:paraId="6E0B69DD"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NCDC</w:t>
            </w:r>
          </w:p>
        </w:tc>
        <w:tc>
          <w:tcPr>
            <w:tcW w:w="3118" w:type="dxa"/>
            <w:hideMark/>
          </w:tcPr>
          <w:p w14:paraId="46E93CE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Department of Infectious Diseases</w:t>
            </w:r>
          </w:p>
        </w:tc>
        <w:tc>
          <w:tcPr>
            <w:tcW w:w="2127" w:type="dxa"/>
            <w:hideMark/>
          </w:tcPr>
          <w:p w14:paraId="7CD1EF8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w:t>
            </w:r>
          </w:p>
        </w:tc>
        <w:tc>
          <w:tcPr>
            <w:tcW w:w="1929" w:type="dxa"/>
            <w:hideMark/>
          </w:tcPr>
          <w:p w14:paraId="1CDF4C8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Khatuna Zakhashvili</w:t>
            </w:r>
          </w:p>
        </w:tc>
      </w:tr>
      <w:tr w:rsidR="00B9071F" w:rsidRPr="00E53977" w14:paraId="38895025"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0113BA3A" w14:textId="77777777" w:rsidR="00B9071F" w:rsidRPr="00E53977" w:rsidRDefault="00B9071F" w:rsidP="002771FB">
            <w:pPr>
              <w:pStyle w:val="NoSpacing"/>
              <w:widowControl w:val="0"/>
              <w:rPr>
                <w:color w:val="000000"/>
                <w:sz w:val="20"/>
                <w:szCs w:val="20"/>
              </w:rPr>
            </w:pPr>
            <w:r w:rsidRPr="00E53977">
              <w:rPr>
                <w:color w:val="000000"/>
                <w:sz w:val="20"/>
                <w:szCs w:val="20"/>
              </w:rPr>
              <w:t>36</w:t>
            </w:r>
          </w:p>
        </w:tc>
        <w:tc>
          <w:tcPr>
            <w:tcW w:w="2012" w:type="dxa"/>
            <w:hideMark/>
          </w:tcPr>
          <w:p w14:paraId="6CDBE71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NCDC</w:t>
            </w:r>
          </w:p>
        </w:tc>
        <w:tc>
          <w:tcPr>
            <w:tcW w:w="3118" w:type="dxa"/>
            <w:hideMark/>
          </w:tcPr>
          <w:p w14:paraId="4B3E052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Department of Nosocomial, Water and Food Transmitted and Parasitological Diseases</w:t>
            </w:r>
          </w:p>
        </w:tc>
        <w:tc>
          <w:tcPr>
            <w:tcW w:w="2127" w:type="dxa"/>
            <w:hideMark/>
          </w:tcPr>
          <w:p w14:paraId="255952D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Director</w:t>
            </w:r>
          </w:p>
        </w:tc>
        <w:tc>
          <w:tcPr>
            <w:tcW w:w="1929" w:type="dxa"/>
            <w:hideMark/>
          </w:tcPr>
          <w:p w14:paraId="6ECC8EA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Levan Baidoshvili</w:t>
            </w:r>
          </w:p>
        </w:tc>
      </w:tr>
      <w:tr w:rsidR="00B9071F" w:rsidRPr="00E53977" w14:paraId="29F92EC4"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06D46D31" w14:textId="77777777" w:rsidR="00B9071F" w:rsidRPr="00E53977" w:rsidRDefault="00B9071F" w:rsidP="002771FB">
            <w:pPr>
              <w:pStyle w:val="NoSpacing"/>
              <w:widowControl w:val="0"/>
              <w:rPr>
                <w:color w:val="000000"/>
                <w:sz w:val="20"/>
                <w:szCs w:val="20"/>
              </w:rPr>
            </w:pPr>
            <w:r w:rsidRPr="00E53977">
              <w:rPr>
                <w:color w:val="000000"/>
                <w:sz w:val="20"/>
                <w:szCs w:val="20"/>
              </w:rPr>
              <w:t>37</w:t>
            </w:r>
          </w:p>
        </w:tc>
        <w:tc>
          <w:tcPr>
            <w:tcW w:w="2012" w:type="dxa"/>
            <w:hideMark/>
          </w:tcPr>
          <w:p w14:paraId="1E6DAAC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NFA</w:t>
            </w:r>
          </w:p>
        </w:tc>
        <w:tc>
          <w:tcPr>
            <w:tcW w:w="3118" w:type="dxa"/>
            <w:hideMark/>
          </w:tcPr>
          <w:p w14:paraId="703E1E3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Administration</w:t>
            </w:r>
          </w:p>
        </w:tc>
        <w:tc>
          <w:tcPr>
            <w:tcW w:w="2127" w:type="dxa"/>
            <w:hideMark/>
          </w:tcPr>
          <w:p w14:paraId="1A19F01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w:t>
            </w:r>
          </w:p>
        </w:tc>
        <w:tc>
          <w:tcPr>
            <w:tcW w:w="1929" w:type="dxa"/>
            <w:hideMark/>
          </w:tcPr>
          <w:p w14:paraId="701D2AA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Zurab Chekurashvili</w:t>
            </w:r>
          </w:p>
        </w:tc>
      </w:tr>
      <w:tr w:rsidR="00B9071F" w:rsidRPr="00E53977" w14:paraId="07394033"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5783EBBF" w14:textId="77777777" w:rsidR="00B9071F" w:rsidRPr="00E53977" w:rsidRDefault="00B9071F" w:rsidP="002771FB">
            <w:pPr>
              <w:pStyle w:val="NoSpacing"/>
              <w:widowControl w:val="0"/>
              <w:rPr>
                <w:color w:val="000000"/>
                <w:sz w:val="20"/>
                <w:szCs w:val="20"/>
              </w:rPr>
            </w:pPr>
            <w:r w:rsidRPr="00E53977">
              <w:rPr>
                <w:color w:val="000000"/>
                <w:sz w:val="20"/>
                <w:szCs w:val="20"/>
              </w:rPr>
              <w:t>38</w:t>
            </w:r>
          </w:p>
        </w:tc>
        <w:tc>
          <w:tcPr>
            <w:tcW w:w="2012" w:type="dxa"/>
            <w:hideMark/>
          </w:tcPr>
          <w:p w14:paraId="7AF7D05B"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NFA</w:t>
            </w:r>
          </w:p>
        </w:tc>
        <w:tc>
          <w:tcPr>
            <w:tcW w:w="3118" w:type="dxa"/>
            <w:hideMark/>
          </w:tcPr>
          <w:p w14:paraId="1001285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Administration</w:t>
            </w:r>
          </w:p>
        </w:tc>
        <w:tc>
          <w:tcPr>
            <w:tcW w:w="2127" w:type="dxa"/>
            <w:hideMark/>
          </w:tcPr>
          <w:p w14:paraId="1774B5F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Deputy</w:t>
            </w:r>
          </w:p>
        </w:tc>
        <w:tc>
          <w:tcPr>
            <w:tcW w:w="1929" w:type="dxa"/>
            <w:hideMark/>
          </w:tcPr>
          <w:p w14:paraId="7375BF4F"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George Iakobashvili</w:t>
            </w:r>
          </w:p>
        </w:tc>
      </w:tr>
      <w:tr w:rsidR="00B9071F" w:rsidRPr="00E53977" w14:paraId="33ADAFB0"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3A6099CD" w14:textId="77777777" w:rsidR="00B9071F" w:rsidRPr="00E53977" w:rsidRDefault="00B9071F" w:rsidP="002771FB">
            <w:pPr>
              <w:pStyle w:val="NoSpacing"/>
              <w:widowControl w:val="0"/>
              <w:rPr>
                <w:color w:val="000000"/>
                <w:sz w:val="20"/>
                <w:szCs w:val="20"/>
              </w:rPr>
            </w:pPr>
            <w:r w:rsidRPr="00E53977">
              <w:rPr>
                <w:color w:val="000000"/>
                <w:sz w:val="20"/>
                <w:szCs w:val="20"/>
              </w:rPr>
              <w:t>39</w:t>
            </w:r>
          </w:p>
        </w:tc>
        <w:tc>
          <w:tcPr>
            <w:tcW w:w="2012" w:type="dxa"/>
            <w:hideMark/>
          </w:tcPr>
          <w:p w14:paraId="26F92CEF"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NFA</w:t>
            </w:r>
          </w:p>
        </w:tc>
        <w:tc>
          <w:tcPr>
            <w:tcW w:w="3118" w:type="dxa"/>
            <w:hideMark/>
          </w:tcPr>
          <w:p w14:paraId="403D900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CIB Program</w:t>
            </w:r>
          </w:p>
        </w:tc>
        <w:tc>
          <w:tcPr>
            <w:tcW w:w="2127" w:type="dxa"/>
            <w:hideMark/>
          </w:tcPr>
          <w:p w14:paraId="14CB807D"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Programme Manager</w:t>
            </w:r>
          </w:p>
        </w:tc>
        <w:tc>
          <w:tcPr>
            <w:tcW w:w="1929" w:type="dxa"/>
            <w:hideMark/>
          </w:tcPr>
          <w:p w14:paraId="5E0CFF5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Rati Shavgulidze</w:t>
            </w:r>
          </w:p>
        </w:tc>
      </w:tr>
      <w:tr w:rsidR="00B9071F" w:rsidRPr="00E53977" w14:paraId="5CB06E1C"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2939B40D" w14:textId="77777777" w:rsidR="00B9071F" w:rsidRPr="00E53977" w:rsidRDefault="00B9071F" w:rsidP="002771FB">
            <w:pPr>
              <w:pStyle w:val="NoSpacing"/>
              <w:widowControl w:val="0"/>
              <w:rPr>
                <w:color w:val="000000"/>
                <w:sz w:val="20"/>
                <w:szCs w:val="20"/>
              </w:rPr>
            </w:pPr>
            <w:r w:rsidRPr="00E53977">
              <w:rPr>
                <w:color w:val="000000"/>
                <w:sz w:val="20"/>
                <w:szCs w:val="20"/>
              </w:rPr>
              <w:t>40</w:t>
            </w:r>
          </w:p>
        </w:tc>
        <w:tc>
          <w:tcPr>
            <w:tcW w:w="2012" w:type="dxa"/>
            <w:hideMark/>
          </w:tcPr>
          <w:p w14:paraId="25BD2AA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NFA</w:t>
            </w:r>
          </w:p>
        </w:tc>
        <w:tc>
          <w:tcPr>
            <w:tcW w:w="3118" w:type="dxa"/>
            <w:hideMark/>
          </w:tcPr>
          <w:p w14:paraId="6519C03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CIB Program</w:t>
            </w:r>
          </w:p>
        </w:tc>
        <w:tc>
          <w:tcPr>
            <w:tcW w:w="2127" w:type="dxa"/>
            <w:hideMark/>
          </w:tcPr>
          <w:p w14:paraId="27EF509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International Adviser</w:t>
            </w:r>
          </w:p>
        </w:tc>
        <w:tc>
          <w:tcPr>
            <w:tcW w:w="1929" w:type="dxa"/>
            <w:hideMark/>
          </w:tcPr>
          <w:p w14:paraId="22F2EE6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Matti Lampi</w:t>
            </w:r>
          </w:p>
        </w:tc>
      </w:tr>
      <w:tr w:rsidR="00B9071F" w:rsidRPr="00E53977" w14:paraId="1F9525D3"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777D04B5" w14:textId="77777777" w:rsidR="00B9071F" w:rsidRPr="00E53977" w:rsidRDefault="00B9071F" w:rsidP="002771FB">
            <w:pPr>
              <w:pStyle w:val="NoSpacing"/>
              <w:widowControl w:val="0"/>
              <w:rPr>
                <w:color w:val="000000"/>
                <w:sz w:val="20"/>
                <w:szCs w:val="20"/>
              </w:rPr>
            </w:pPr>
            <w:r w:rsidRPr="00E53977">
              <w:rPr>
                <w:color w:val="000000"/>
                <w:sz w:val="20"/>
                <w:szCs w:val="20"/>
              </w:rPr>
              <w:t>41</w:t>
            </w:r>
          </w:p>
        </w:tc>
        <w:tc>
          <w:tcPr>
            <w:tcW w:w="2012" w:type="dxa"/>
            <w:hideMark/>
          </w:tcPr>
          <w:p w14:paraId="122A7A1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NFA</w:t>
            </w:r>
          </w:p>
        </w:tc>
        <w:tc>
          <w:tcPr>
            <w:tcW w:w="3118" w:type="dxa"/>
            <w:hideMark/>
          </w:tcPr>
          <w:p w14:paraId="029B3C7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Drinking Water</w:t>
            </w:r>
          </w:p>
        </w:tc>
        <w:tc>
          <w:tcPr>
            <w:tcW w:w="2127" w:type="dxa"/>
            <w:hideMark/>
          </w:tcPr>
          <w:p w14:paraId="186AA4B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w:t>
            </w:r>
          </w:p>
        </w:tc>
        <w:tc>
          <w:tcPr>
            <w:tcW w:w="1929" w:type="dxa"/>
            <w:hideMark/>
          </w:tcPr>
          <w:p w14:paraId="4E3D4537"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Mariam Gordadze</w:t>
            </w:r>
          </w:p>
        </w:tc>
      </w:tr>
      <w:tr w:rsidR="00B9071F" w:rsidRPr="00E53977" w14:paraId="446D7E72"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37D8D722" w14:textId="77777777" w:rsidR="00B9071F" w:rsidRPr="00E53977" w:rsidRDefault="00B9071F" w:rsidP="002771FB">
            <w:pPr>
              <w:pStyle w:val="NoSpacing"/>
              <w:widowControl w:val="0"/>
              <w:rPr>
                <w:color w:val="000000"/>
                <w:sz w:val="20"/>
                <w:szCs w:val="20"/>
              </w:rPr>
            </w:pPr>
            <w:r w:rsidRPr="00E53977">
              <w:rPr>
                <w:color w:val="000000"/>
                <w:sz w:val="20"/>
                <w:szCs w:val="20"/>
              </w:rPr>
              <w:t>42</w:t>
            </w:r>
          </w:p>
        </w:tc>
        <w:tc>
          <w:tcPr>
            <w:tcW w:w="2012" w:type="dxa"/>
            <w:hideMark/>
          </w:tcPr>
          <w:p w14:paraId="14C2182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NFA</w:t>
            </w:r>
          </w:p>
        </w:tc>
        <w:tc>
          <w:tcPr>
            <w:tcW w:w="3118" w:type="dxa"/>
            <w:hideMark/>
          </w:tcPr>
          <w:p w14:paraId="75248F97"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Food and Feed Inspection</w:t>
            </w:r>
          </w:p>
        </w:tc>
        <w:tc>
          <w:tcPr>
            <w:tcW w:w="2127" w:type="dxa"/>
            <w:hideMark/>
          </w:tcPr>
          <w:p w14:paraId="16A5796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 of Division</w:t>
            </w:r>
          </w:p>
        </w:tc>
        <w:tc>
          <w:tcPr>
            <w:tcW w:w="1929" w:type="dxa"/>
            <w:hideMark/>
          </w:tcPr>
          <w:p w14:paraId="652E833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Tamta Mikanadze</w:t>
            </w:r>
          </w:p>
        </w:tc>
      </w:tr>
      <w:tr w:rsidR="00B9071F" w:rsidRPr="00E53977" w14:paraId="037710A6"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3798B99A" w14:textId="77777777" w:rsidR="00B9071F" w:rsidRPr="00E53977" w:rsidRDefault="00B9071F" w:rsidP="002771FB">
            <w:pPr>
              <w:pStyle w:val="NoSpacing"/>
              <w:widowControl w:val="0"/>
              <w:rPr>
                <w:color w:val="000000"/>
                <w:sz w:val="20"/>
                <w:szCs w:val="20"/>
              </w:rPr>
            </w:pPr>
            <w:r w:rsidRPr="00E53977">
              <w:rPr>
                <w:color w:val="000000"/>
                <w:sz w:val="20"/>
                <w:szCs w:val="20"/>
              </w:rPr>
              <w:t>43</w:t>
            </w:r>
          </w:p>
        </w:tc>
        <w:tc>
          <w:tcPr>
            <w:tcW w:w="2012" w:type="dxa"/>
            <w:hideMark/>
          </w:tcPr>
          <w:p w14:paraId="791508C8"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NFA</w:t>
            </w:r>
          </w:p>
        </w:tc>
        <w:tc>
          <w:tcPr>
            <w:tcW w:w="3118" w:type="dxa"/>
            <w:hideMark/>
          </w:tcPr>
          <w:p w14:paraId="36FED791"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International Relations and EU Law Approximation Division</w:t>
            </w:r>
          </w:p>
        </w:tc>
        <w:tc>
          <w:tcPr>
            <w:tcW w:w="2127" w:type="dxa"/>
            <w:hideMark/>
          </w:tcPr>
          <w:p w14:paraId="69A0B9B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w:t>
            </w:r>
          </w:p>
        </w:tc>
        <w:tc>
          <w:tcPr>
            <w:tcW w:w="1929" w:type="dxa"/>
            <w:hideMark/>
          </w:tcPr>
          <w:p w14:paraId="56011B0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Zurab Zurashvili</w:t>
            </w:r>
          </w:p>
        </w:tc>
      </w:tr>
      <w:tr w:rsidR="00B9071F" w:rsidRPr="00E53977" w14:paraId="62717AD0"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09C664C2" w14:textId="77777777" w:rsidR="00B9071F" w:rsidRPr="00E53977" w:rsidRDefault="00B9071F" w:rsidP="002771FB">
            <w:pPr>
              <w:pStyle w:val="NoSpacing"/>
              <w:widowControl w:val="0"/>
              <w:rPr>
                <w:color w:val="000000"/>
                <w:sz w:val="20"/>
                <w:szCs w:val="20"/>
              </w:rPr>
            </w:pPr>
            <w:r w:rsidRPr="00E53977">
              <w:rPr>
                <w:color w:val="000000"/>
                <w:sz w:val="20"/>
                <w:szCs w:val="20"/>
              </w:rPr>
              <w:t>44</w:t>
            </w:r>
          </w:p>
        </w:tc>
        <w:tc>
          <w:tcPr>
            <w:tcW w:w="2012" w:type="dxa"/>
            <w:hideMark/>
          </w:tcPr>
          <w:p w14:paraId="1B141FA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NFA</w:t>
            </w:r>
          </w:p>
        </w:tc>
        <w:tc>
          <w:tcPr>
            <w:tcW w:w="3118" w:type="dxa"/>
            <w:hideMark/>
          </w:tcPr>
          <w:p w14:paraId="6E0EED7B"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Phytosanitary Department</w:t>
            </w:r>
          </w:p>
        </w:tc>
        <w:tc>
          <w:tcPr>
            <w:tcW w:w="2127" w:type="dxa"/>
            <w:hideMark/>
          </w:tcPr>
          <w:p w14:paraId="4DB9812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Deputy Head</w:t>
            </w:r>
          </w:p>
        </w:tc>
        <w:tc>
          <w:tcPr>
            <w:tcW w:w="1929" w:type="dxa"/>
            <w:hideMark/>
          </w:tcPr>
          <w:p w14:paraId="609C2CD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Nikoloz Meskhi</w:t>
            </w:r>
          </w:p>
        </w:tc>
      </w:tr>
      <w:tr w:rsidR="00B9071F" w:rsidRPr="00E53977" w14:paraId="4FB2A54E"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368172AD" w14:textId="77777777" w:rsidR="00B9071F" w:rsidRPr="00E53977" w:rsidRDefault="00B9071F" w:rsidP="002771FB">
            <w:pPr>
              <w:pStyle w:val="NoSpacing"/>
              <w:widowControl w:val="0"/>
              <w:rPr>
                <w:color w:val="000000"/>
                <w:sz w:val="20"/>
                <w:szCs w:val="20"/>
              </w:rPr>
            </w:pPr>
            <w:r w:rsidRPr="00E53977">
              <w:rPr>
                <w:color w:val="000000"/>
                <w:sz w:val="20"/>
                <w:szCs w:val="20"/>
              </w:rPr>
              <w:t>45</w:t>
            </w:r>
          </w:p>
        </w:tc>
        <w:tc>
          <w:tcPr>
            <w:tcW w:w="2012" w:type="dxa"/>
            <w:hideMark/>
          </w:tcPr>
          <w:p w14:paraId="1F192D0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NFA</w:t>
            </w:r>
          </w:p>
        </w:tc>
        <w:tc>
          <w:tcPr>
            <w:tcW w:w="3118" w:type="dxa"/>
            <w:hideMark/>
          </w:tcPr>
          <w:p w14:paraId="23E0C7F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Veterinary department</w:t>
            </w:r>
          </w:p>
        </w:tc>
        <w:tc>
          <w:tcPr>
            <w:tcW w:w="2127" w:type="dxa"/>
            <w:hideMark/>
          </w:tcPr>
          <w:p w14:paraId="0163726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w:t>
            </w:r>
          </w:p>
        </w:tc>
        <w:tc>
          <w:tcPr>
            <w:tcW w:w="1929" w:type="dxa"/>
            <w:hideMark/>
          </w:tcPr>
          <w:p w14:paraId="5F29551A"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Lasha Avaliani</w:t>
            </w:r>
          </w:p>
        </w:tc>
      </w:tr>
      <w:tr w:rsidR="00B9071F" w:rsidRPr="00E53977" w14:paraId="03F9466A"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137C84FE" w14:textId="77777777" w:rsidR="00B9071F" w:rsidRPr="00E53977" w:rsidRDefault="00B9071F" w:rsidP="002771FB">
            <w:pPr>
              <w:pStyle w:val="NoSpacing"/>
              <w:widowControl w:val="0"/>
              <w:rPr>
                <w:color w:val="000000"/>
                <w:sz w:val="20"/>
                <w:szCs w:val="20"/>
              </w:rPr>
            </w:pPr>
            <w:r w:rsidRPr="00E53977">
              <w:rPr>
                <w:color w:val="000000"/>
                <w:sz w:val="20"/>
                <w:szCs w:val="20"/>
              </w:rPr>
              <w:t>46</w:t>
            </w:r>
          </w:p>
        </w:tc>
        <w:tc>
          <w:tcPr>
            <w:tcW w:w="2012" w:type="dxa"/>
            <w:hideMark/>
          </w:tcPr>
          <w:p w14:paraId="2B06CE1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NFA</w:t>
            </w:r>
          </w:p>
        </w:tc>
        <w:tc>
          <w:tcPr>
            <w:tcW w:w="3118" w:type="dxa"/>
            <w:hideMark/>
          </w:tcPr>
          <w:p w14:paraId="3F1CABE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Food department</w:t>
            </w:r>
          </w:p>
        </w:tc>
        <w:tc>
          <w:tcPr>
            <w:tcW w:w="2127" w:type="dxa"/>
            <w:hideMark/>
          </w:tcPr>
          <w:p w14:paraId="49FAD60B"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w:t>
            </w:r>
          </w:p>
        </w:tc>
        <w:tc>
          <w:tcPr>
            <w:tcW w:w="1929" w:type="dxa"/>
            <w:noWrap/>
            <w:hideMark/>
          </w:tcPr>
          <w:p w14:paraId="36F22EC7"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Gia Mikadze</w:t>
            </w:r>
          </w:p>
        </w:tc>
      </w:tr>
      <w:tr w:rsidR="00B9071F" w:rsidRPr="00E53977" w14:paraId="5E986449"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0D0EF3E1" w14:textId="77777777" w:rsidR="00B9071F" w:rsidRPr="00E53977" w:rsidRDefault="00B9071F" w:rsidP="002771FB">
            <w:pPr>
              <w:pStyle w:val="NoSpacing"/>
              <w:widowControl w:val="0"/>
              <w:rPr>
                <w:color w:val="000000"/>
                <w:sz w:val="20"/>
                <w:szCs w:val="20"/>
              </w:rPr>
            </w:pPr>
            <w:r w:rsidRPr="00E53977">
              <w:rPr>
                <w:color w:val="000000"/>
                <w:sz w:val="20"/>
                <w:szCs w:val="20"/>
              </w:rPr>
              <w:t>47</w:t>
            </w:r>
          </w:p>
        </w:tc>
        <w:tc>
          <w:tcPr>
            <w:tcW w:w="2012" w:type="dxa"/>
            <w:hideMark/>
          </w:tcPr>
          <w:p w14:paraId="11AEA807"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NFA</w:t>
            </w:r>
          </w:p>
        </w:tc>
        <w:tc>
          <w:tcPr>
            <w:tcW w:w="3118" w:type="dxa"/>
            <w:hideMark/>
          </w:tcPr>
          <w:p w14:paraId="7470CB3D"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Adjara Regional Department, Batumi</w:t>
            </w:r>
          </w:p>
        </w:tc>
        <w:tc>
          <w:tcPr>
            <w:tcW w:w="2127" w:type="dxa"/>
            <w:hideMark/>
          </w:tcPr>
          <w:p w14:paraId="2631D3E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w:t>
            </w:r>
          </w:p>
        </w:tc>
        <w:tc>
          <w:tcPr>
            <w:tcW w:w="1929" w:type="dxa"/>
            <w:noWrap/>
            <w:hideMark/>
          </w:tcPr>
          <w:p w14:paraId="609C132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Ilia Sirabidze</w:t>
            </w:r>
          </w:p>
        </w:tc>
      </w:tr>
      <w:tr w:rsidR="00B9071F" w:rsidRPr="00E53977" w14:paraId="09E4FC7D"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174C348A" w14:textId="77777777" w:rsidR="00B9071F" w:rsidRPr="00E53977" w:rsidRDefault="00B9071F" w:rsidP="002771FB">
            <w:pPr>
              <w:pStyle w:val="NoSpacing"/>
              <w:widowControl w:val="0"/>
              <w:rPr>
                <w:color w:val="000000"/>
                <w:sz w:val="20"/>
                <w:szCs w:val="20"/>
              </w:rPr>
            </w:pPr>
            <w:r w:rsidRPr="00E53977">
              <w:rPr>
                <w:color w:val="000000"/>
                <w:sz w:val="20"/>
                <w:szCs w:val="20"/>
              </w:rPr>
              <w:t>48</w:t>
            </w:r>
          </w:p>
        </w:tc>
        <w:tc>
          <w:tcPr>
            <w:tcW w:w="2012" w:type="dxa"/>
            <w:hideMark/>
          </w:tcPr>
          <w:p w14:paraId="61885AD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Revenue Service</w:t>
            </w:r>
          </w:p>
        </w:tc>
        <w:tc>
          <w:tcPr>
            <w:tcW w:w="3118" w:type="dxa"/>
            <w:hideMark/>
          </w:tcPr>
          <w:p w14:paraId="4710BEBF"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International Relations Department</w:t>
            </w:r>
          </w:p>
        </w:tc>
        <w:tc>
          <w:tcPr>
            <w:tcW w:w="2127" w:type="dxa"/>
            <w:hideMark/>
          </w:tcPr>
          <w:p w14:paraId="68726F6A"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w:t>
            </w:r>
          </w:p>
        </w:tc>
        <w:tc>
          <w:tcPr>
            <w:tcW w:w="1929" w:type="dxa"/>
            <w:hideMark/>
          </w:tcPr>
          <w:p w14:paraId="0929210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Samson Uridia</w:t>
            </w:r>
          </w:p>
        </w:tc>
      </w:tr>
      <w:tr w:rsidR="00B9071F" w:rsidRPr="00E53977" w14:paraId="5444BA73"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30B6ECF3" w14:textId="77777777" w:rsidR="00B9071F" w:rsidRPr="00E53977" w:rsidRDefault="00B9071F" w:rsidP="002771FB">
            <w:pPr>
              <w:pStyle w:val="NoSpacing"/>
              <w:widowControl w:val="0"/>
              <w:rPr>
                <w:color w:val="000000"/>
                <w:sz w:val="20"/>
                <w:szCs w:val="20"/>
              </w:rPr>
            </w:pPr>
            <w:r w:rsidRPr="00E53977">
              <w:rPr>
                <w:color w:val="000000"/>
                <w:sz w:val="20"/>
                <w:szCs w:val="20"/>
              </w:rPr>
              <w:t>49</w:t>
            </w:r>
          </w:p>
        </w:tc>
        <w:tc>
          <w:tcPr>
            <w:tcW w:w="2012" w:type="dxa"/>
            <w:hideMark/>
          </w:tcPr>
          <w:p w14:paraId="74AD003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Revenue Service</w:t>
            </w:r>
          </w:p>
        </w:tc>
        <w:tc>
          <w:tcPr>
            <w:tcW w:w="3118" w:type="dxa"/>
            <w:hideMark/>
          </w:tcPr>
          <w:p w14:paraId="2BED3071"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International Relations Department</w:t>
            </w:r>
          </w:p>
        </w:tc>
        <w:tc>
          <w:tcPr>
            <w:tcW w:w="2127" w:type="dxa"/>
            <w:hideMark/>
          </w:tcPr>
          <w:p w14:paraId="4568346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Adviser</w:t>
            </w:r>
          </w:p>
        </w:tc>
        <w:tc>
          <w:tcPr>
            <w:tcW w:w="1929" w:type="dxa"/>
            <w:hideMark/>
          </w:tcPr>
          <w:p w14:paraId="49AEDC4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Tamar Bukhrashvili</w:t>
            </w:r>
          </w:p>
        </w:tc>
      </w:tr>
      <w:tr w:rsidR="00B9071F" w:rsidRPr="00E53977" w14:paraId="35616026"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6BB1ABE3" w14:textId="77777777" w:rsidR="00B9071F" w:rsidRPr="00E53977" w:rsidRDefault="00B9071F" w:rsidP="002771FB">
            <w:pPr>
              <w:pStyle w:val="NoSpacing"/>
              <w:widowControl w:val="0"/>
              <w:rPr>
                <w:color w:val="000000"/>
                <w:sz w:val="20"/>
                <w:szCs w:val="20"/>
              </w:rPr>
            </w:pPr>
            <w:r w:rsidRPr="00E53977">
              <w:rPr>
                <w:color w:val="000000"/>
                <w:sz w:val="20"/>
                <w:szCs w:val="20"/>
              </w:rPr>
              <w:t>50</w:t>
            </w:r>
          </w:p>
        </w:tc>
        <w:tc>
          <w:tcPr>
            <w:tcW w:w="2012" w:type="dxa"/>
            <w:hideMark/>
          </w:tcPr>
          <w:p w14:paraId="1A1C02B4"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SDC</w:t>
            </w:r>
          </w:p>
        </w:tc>
        <w:tc>
          <w:tcPr>
            <w:tcW w:w="3118" w:type="dxa"/>
            <w:noWrap/>
            <w:hideMark/>
          </w:tcPr>
          <w:p w14:paraId="3FA061C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Economic Development Program</w:t>
            </w:r>
          </w:p>
        </w:tc>
        <w:tc>
          <w:tcPr>
            <w:tcW w:w="2127" w:type="dxa"/>
            <w:hideMark/>
          </w:tcPr>
          <w:p w14:paraId="06D3AD1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Senior National Officer</w:t>
            </w:r>
          </w:p>
        </w:tc>
        <w:tc>
          <w:tcPr>
            <w:tcW w:w="1929" w:type="dxa"/>
            <w:noWrap/>
            <w:hideMark/>
          </w:tcPr>
          <w:p w14:paraId="01A5169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Beka Tagauri</w:t>
            </w:r>
          </w:p>
        </w:tc>
      </w:tr>
      <w:tr w:rsidR="00B9071F" w:rsidRPr="00E53977" w14:paraId="314359FD"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73B266D9" w14:textId="77777777" w:rsidR="00B9071F" w:rsidRPr="00E53977" w:rsidRDefault="00B9071F" w:rsidP="002771FB">
            <w:pPr>
              <w:pStyle w:val="NoSpacing"/>
              <w:widowControl w:val="0"/>
              <w:rPr>
                <w:color w:val="000000"/>
                <w:sz w:val="20"/>
                <w:szCs w:val="20"/>
              </w:rPr>
            </w:pPr>
            <w:r w:rsidRPr="00E53977">
              <w:rPr>
                <w:color w:val="000000"/>
                <w:sz w:val="20"/>
                <w:szCs w:val="20"/>
              </w:rPr>
              <w:t>51</w:t>
            </w:r>
          </w:p>
        </w:tc>
        <w:tc>
          <w:tcPr>
            <w:tcW w:w="2012" w:type="dxa"/>
            <w:hideMark/>
          </w:tcPr>
          <w:p w14:paraId="1E207E6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SDC</w:t>
            </w:r>
          </w:p>
        </w:tc>
        <w:tc>
          <w:tcPr>
            <w:tcW w:w="3118" w:type="dxa"/>
            <w:noWrap/>
            <w:hideMark/>
          </w:tcPr>
          <w:p w14:paraId="5F9DA59B"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Economic Development Program</w:t>
            </w:r>
          </w:p>
        </w:tc>
        <w:tc>
          <w:tcPr>
            <w:tcW w:w="2127" w:type="dxa"/>
            <w:hideMark/>
          </w:tcPr>
          <w:p w14:paraId="3DE71F0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National Program Officer</w:t>
            </w:r>
          </w:p>
        </w:tc>
        <w:tc>
          <w:tcPr>
            <w:tcW w:w="1929" w:type="dxa"/>
            <w:noWrap/>
            <w:hideMark/>
          </w:tcPr>
          <w:p w14:paraId="669D07DB"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Nino Edilashvili</w:t>
            </w:r>
          </w:p>
        </w:tc>
      </w:tr>
      <w:tr w:rsidR="00B9071F" w:rsidRPr="00E53977" w14:paraId="0214C194"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7FE01B4B" w14:textId="77777777" w:rsidR="00B9071F" w:rsidRPr="00E53977" w:rsidRDefault="00B9071F" w:rsidP="002771FB">
            <w:pPr>
              <w:pStyle w:val="NoSpacing"/>
              <w:widowControl w:val="0"/>
              <w:rPr>
                <w:color w:val="000000"/>
                <w:sz w:val="20"/>
                <w:szCs w:val="20"/>
              </w:rPr>
            </w:pPr>
            <w:r w:rsidRPr="00E53977">
              <w:rPr>
                <w:color w:val="000000"/>
                <w:sz w:val="20"/>
                <w:szCs w:val="20"/>
              </w:rPr>
              <w:t>52</w:t>
            </w:r>
          </w:p>
        </w:tc>
        <w:tc>
          <w:tcPr>
            <w:tcW w:w="2012" w:type="dxa"/>
            <w:hideMark/>
          </w:tcPr>
          <w:p w14:paraId="53840B06"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Sheep Breeders’ Association of Georgia</w:t>
            </w:r>
          </w:p>
        </w:tc>
        <w:tc>
          <w:tcPr>
            <w:tcW w:w="3118" w:type="dxa"/>
            <w:hideMark/>
          </w:tcPr>
          <w:p w14:paraId="0BA7CBE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Administration</w:t>
            </w:r>
          </w:p>
        </w:tc>
        <w:tc>
          <w:tcPr>
            <w:tcW w:w="2127" w:type="dxa"/>
            <w:hideMark/>
          </w:tcPr>
          <w:p w14:paraId="3F465E3F"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Chairman</w:t>
            </w:r>
          </w:p>
        </w:tc>
        <w:tc>
          <w:tcPr>
            <w:tcW w:w="1929" w:type="dxa"/>
            <w:noWrap/>
            <w:hideMark/>
          </w:tcPr>
          <w:p w14:paraId="099A5DFF"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sz w:val="20"/>
                <w:szCs w:val="20"/>
              </w:rPr>
            </w:pPr>
            <w:r w:rsidRPr="00E53977">
              <w:rPr>
                <w:sz w:val="20"/>
                <w:szCs w:val="20"/>
              </w:rPr>
              <w:t>Beka Gonashvili</w:t>
            </w:r>
          </w:p>
        </w:tc>
      </w:tr>
      <w:tr w:rsidR="00B9071F" w:rsidRPr="00E53977" w14:paraId="1DE67258"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7152F83F" w14:textId="77777777" w:rsidR="00B9071F" w:rsidRPr="00E53977" w:rsidRDefault="00B9071F" w:rsidP="002771FB">
            <w:pPr>
              <w:pStyle w:val="NoSpacing"/>
              <w:widowControl w:val="0"/>
              <w:rPr>
                <w:color w:val="000000"/>
                <w:sz w:val="20"/>
                <w:szCs w:val="20"/>
              </w:rPr>
            </w:pPr>
            <w:r w:rsidRPr="00E53977">
              <w:rPr>
                <w:color w:val="000000"/>
                <w:sz w:val="20"/>
                <w:szCs w:val="20"/>
              </w:rPr>
              <w:t>53</w:t>
            </w:r>
          </w:p>
        </w:tc>
        <w:tc>
          <w:tcPr>
            <w:tcW w:w="2012" w:type="dxa"/>
            <w:hideMark/>
          </w:tcPr>
          <w:p w14:paraId="170A6C8C"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United Water Supply Company</w:t>
            </w:r>
          </w:p>
        </w:tc>
        <w:tc>
          <w:tcPr>
            <w:tcW w:w="3118" w:type="dxa"/>
            <w:hideMark/>
          </w:tcPr>
          <w:p w14:paraId="05F2F16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Administration</w:t>
            </w:r>
          </w:p>
        </w:tc>
        <w:tc>
          <w:tcPr>
            <w:tcW w:w="2127" w:type="dxa"/>
            <w:hideMark/>
          </w:tcPr>
          <w:p w14:paraId="5422EAC2"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Deputy Director</w:t>
            </w:r>
          </w:p>
        </w:tc>
        <w:tc>
          <w:tcPr>
            <w:tcW w:w="1929" w:type="dxa"/>
            <w:hideMark/>
          </w:tcPr>
          <w:p w14:paraId="5A94EA1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Zaza Sikharulidze</w:t>
            </w:r>
          </w:p>
        </w:tc>
      </w:tr>
      <w:tr w:rsidR="00B9071F" w:rsidRPr="00E53977" w14:paraId="620B4F3F"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2CBD4D99" w14:textId="77777777" w:rsidR="00B9071F" w:rsidRPr="00E53977" w:rsidRDefault="00B9071F" w:rsidP="002771FB">
            <w:pPr>
              <w:pStyle w:val="NoSpacing"/>
              <w:widowControl w:val="0"/>
              <w:rPr>
                <w:color w:val="000000"/>
                <w:sz w:val="20"/>
                <w:szCs w:val="20"/>
              </w:rPr>
            </w:pPr>
            <w:r w:rsidRPr="00E53977">
              <w:rPr>
                <w:color w:val="000000"/>
                <w:sz w:val="20"/>
                <w:szCs w:val="20"/>
              </w:rPr>
              <w:t>54</w:t>
            </w:r>
          </w:p>
        </w:tc>
        <w:tc>
          <w:tcPr>
            <w:tcW w:w="2012" w:type="dxa"/>
            <w:hideMark/>
          </w:tcPr>
          <w:p w14:paraId="75569FD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United Water Supply Company</w:t>
            </w:r>
          </w:p>
        </w:tc>
        <w:tc>
          <w:tcPr>
            <w:tcW w:w="3118" w:type="dxa"/>
            <w:hideMark/>
          </w:tcPr>
          <w:p w14:paraId="173E592A"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Administration</w:t>
            </w:r>
          </w:p>
        </w:tc>
        <w:tc>
          <w:tcPr>
            <w:tcW w:w="2127" w:type="dxa"/>
            <w:hideMark/>
          </w:tcPr>
          <w:p w14:paraId="4DEF6F4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Head of Water Quality Management Office</w:t>
            </w:r>
          </w:p>
        </w:tc>
        <w:tc>
          <w:tcPr>
            <w:tcW w:w="1929" w:type="dxa"/>
            <w:hideMark/>
          </w:tcPr>
          <w:p w14:paraId="758DF560"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Tamar Nebieridze</w:t>
            </w:r>
          </w:p>
        </w:tc>
      </w:tr>
      <w:tr w:rsidR="00B9071F" w:rsidRPr="00E53977" w14:paraId="0E8765FC"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hideMark/>
          </w:tcPr>
          <w:p w14:paraId="66EC08F7" w14:textId="77777777" w:rsidR="00B9071F" w:rsidRPr="00E53977" w:rsidRDefault="00B9071F" w:rsidP="002771FB">
            <w:pPr>
              <w:pStyle w:val="NoSpacing"/>
              <w:widowControl w:val="0"/>
              <w:rPr>
                <w:color w:val="000000"/>
                <w:sz w:val="20"/>
                <w:szCs w:val="20"/>
              </w:rPr>
            </w:pPr>
            <w:r w:rsidRPr="00E53977">
              <w:rPr>
                <w:color w:val="000000"/>
                <w:sz w:val="20"/>
                <w:szCs w:val="20"/>
              </w:rPr>
              <w:t>55</w:t>
            </w:r>
          </w:p>
        </w:tc>
        <w:tc>
          <w:tcPr>
            <w:tcW w:w="2012" w:type="dxa"/>
            <w:hideMark/>
          </w:tcPr>
          <w:p w14:paraId="0820C6D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USAID REAP Project</w:t>
            </w:r>
          </w:p>
        </w:tc>
        <w:tc>
          <w:tcPr>
            <w:tcW w:w="3118" w:type="dxa"/>
            <w:hideMark/>
          </w:tcPr>
          <w:p w14:paraId="6C79218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Project Management</w:t>
            </w:r>
          </w:p>
        </w:tc>
        <w:tc>
          <w:tcPr>
            <w:tcW w:w="2127" w:type="dxa"/>
            <w:hideMark/>
          </w:tcPr>
          <w:p w14:paraId="7E077EA5"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Program Manager</w:t>
            </w:r>
          </w:p>
        </w:tc>
        <w:tc>
          <w:tcPr>
            <w:tcW w:w="1929" w:type="dxa"/>
            <w:hideMark/>
          </w:tcPr>
          <w:p w14:paraId="00927B0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Alex Samel</w:t>
            </w:r>
          </w:p>
        </w:tc>
      </w:tr>
      <w:tr w:rsidR="00B9071F" w:rsidRPr="00E53977" w14:paraId="644E8844" w14:textId="77777777" w:rsidTr="00FF581B">
        <w:trPr>
          <w:trHeight w:val="20"/>
        </w:trPr>
        <w:tc>
          <w:tcPr>
            <w:cnfStyle w:val="001000000000" w:firstRow="0" w:lastRow="0" w:firstColumn="1" w:lastColumn="0" w:oddVBand="0" w:evenVBand="0" w:oddHBand="0" w:evenHBand="0" w:firstRowFirstColumn="0" w:firstRowLastColumn="0" w:lastRowFirstColumn="0" w:lastRowLastColumn="0"/>
            <w:tcW w:w="535" w:type="dxa"/>
            <w:noWrap/>
          </w:tcPr>
          <w:p w14:paraId="7B603A3A" w14:textId="77777777" w:rsidR="00B9071F" w:rsidRPr="00E53977" w:rsidRDefault="00B9071F" w:rsidP="002771FB">
            <w:pPr>
              <w:pStyle w:val="NoSpacing"/>
              <w:widowControl w:val="0"/>
              <w:rPr>
                <w:color w:val="000000"/>
                <w:sz w:val="20"/>
                <w:szCs w:val="20"/>
              </w:rPr>
            </w:pPr>
            <w:r w:rsidRPr="00E53977">
              <w:rPr>
                <w:color w:val="000000"/>
                <w:sz w:val="20"/>
                <w:szCs w:val="20"/>
              </w:rPr>
              <w:t>56 -99</w:t>
            </w:r>
          </w:p>
        </w:tc>
        <w:tc>
          <w:tcPr>
            <w:tcW w:w="2012" w:type="dxa"/>
          </w:tcPr>
          <w:p w14:paraId="35A6CBEE"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3118" w:type="dxa"/>
          </w:tcPr>
          <w:p w14:paraId="5AEA2747"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127" w:type="dxa"/>
          </w:tcPr>
          <w:p w14:paraId="63F1A303"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Participants of the 8 Focus groups</w:t>
            </w:r>
          </w:p>
        </w:tc>
        <w:tc>
          <w:tcPr>
            <w:tcW w:w="1929" w:type="dxa"/>
          </w:tcPr>
          <w:p w14:paraId="48078A39" w14:textId="77777777" w:rsidR="00B9071F" w:rsidRPr="00E53977" w:rsidRDefault="00B9071F" w:rsidP="002771FB">
            <w:pPr>
              <w:pStyle w:val="NoSpacing"/>
              <w:widowControl w:val="0"/>
              <w:ind w:right="-107"/>
              <w:cnfStyle w:val="000000000000" w:firstRow="0" w:lastRow="0" w:firstColumn="0" w:lastColumn="0" w:oddVBand="0" w:evenVBand="0" w:oddHBand="0" w:evenHBand="0" w:firstRowFirstColumn="0" w:firstRowLastColumn="0" w:lastRowFirstColumn="0" w:lastRowLastColumn="0"/>
              <w:rPr>
                <w:color w:val="000000"/>
                <w:sz w:val="20"/>
                <w:szCs w:val="20"/>
              </w:rPr>
            </w:pPr>
            <w:r w:rsidRPr="00E53977">
              <w:rPr>
                <w:color w:val="000000"/>
                <w:sz w:val="20"/>
                <w:szCs w:val="20"/>
              </w:rPr>
              <w:t>Anonymous due to confidentiality reasons</w:t>
            </w:r>
          </w:p>
        </w:tc>
      </w:tr>
    </w:tbl>
    <w:p w14:paraId="3A717E53" w14:textId="77777777" w:rsidR="003A0DAE" w:rsidRPr="00E53977" w:rsidRDefault="003A0DAE" w:rsidP="002771FB">
      <w:pPr>
        <w:widowControl w:val="0"/>
      </w:pPr>
    </w:p>
    <w:sectPr w:rsidR="003A0DAE" w:rsidRPr="00E53977" w:rsidSect="00C16BEB">
      <w:foot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1E4A4" w14:textId="77777777" w:rsidR="00752F94" w:rsidRDefault="00752F94" w:rsidP="00B9071F">
      <w:pPr>
        <w:spacing w:after="0" w:line="240" w:lineRule="auto"/>
      </w:pPr>
      <w:r>
        <w:separator/>
      </w:r>
    </w:p>
  </w:endnote>
  <w:endnote w:type="continuationSeparator" w:id="0">
    <w:p w14:paraId="391AF737" w14:textId="77777777" w:rsidR="00752F94" w:rsidRDefault="00752F94" w:rsidP="00B9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tNusx">
    <w:panose1 w:val="00000000000000000000"/>
    <w:charset w:val="00"/>
    <w:family w:val="auto"/>
    <w:pitch w:val="variable"/>
    <w:sig w:usb0="00000087" w:usb1="00000000" w:usb2="00000000" w:usb3="00000000" w:csb0="0000001B" w:csb1="00000000"/>
  </w:font>
  <w:font w:name="Sylfaen_PDF_Subse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0731403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F44C651" w14:textId="3004F2DE" w:rsidR="004601B5" w:rsidRPr="00BE6641" w:rsidRDefault="004601B5" w:rsidP="00816824">
            <w:pPr>
              <w:pStyle w:val="Footer"/>
              <w:jc w:val="center"/>
              <w:rPr>
                <w:sz w:val="20"/>
                <w:szCs w:val="20"/>
              </w:rPr>
            </w:pPr>
            <w:r w:rsidRPr="00BE6641">
              <w:rPr>
                <w:sz w:val="20"/>
                <w:szCs w:val="20"/>
              </w:rPr>
              <w:t xml:space="preserve">Page </w:t>
            </w:r>
            <w:r w:rsidRPr="00BE6641">
              <w:rPr>
                <w:bCs/>
                <w:sz w:val="20"/>
                <w:szCs w:val="20"/>
              </w:rPr>
              <w:fldChar w:fldCharType="begin"/>
            </w:r>
            <w:r w:rsidRPr="00BE6641">
              <w:rPr>
                <w:bCs/>
                <w:sz w:val="20"/>
                <w:szCs w:val="20"/>
              </w:rPr>
              <w:instrText xml:space="preserve"> PAGE </w:instrText>
            </w:r>
            <w:r w:rsidRPr="00BE6641">
              <w:rPr>
                <w:bCs/>
                <w:sz w:val="20"/>
                <w:szCs w:val="20"/>
              </w:rPr>
              <w:fldChar w:fldCharType="separate"/>
            </w:r>
            <w:r w:rsidRPr="00BE6641">
              <w:rPr>
                <w:bCs/>
                <w:noProof/>
                <w:sz w:val="20"/>
                <w:szCs w:val="20"/>
              </w:rPr>
              <w:t>2</w:t>
            </w:r>
            <w:r w:rsidRPr="00BE6641">
              <w:rPr>
                <w:bCs/>
                <w:sz w:val="20"/>
                <w:szCs w:val="20"/>
              </w:rPr>
              <w:fldChar w:fldCharType="end"/>
            </w:r>
            <w:r w:rsidRPr="00BE6641">
              <w:rPr>
                <w:sz w:val="20"/>
                <w:szCs w:val="20"/>
              </w:rPr>
              <w:t xml:space="preserve"> of </w:t>
            </w:r>
            <w:r w:rsidRPr="00BE6641">
              <w:rPr>
                <w:bCs/>
                <w:sz w:val="20"/>
                <w:szCs w:val="20"/>
              </w:rPr>
              <w:fldChar w:fldCharType="begin"/>
            </w:r>
            <w:r w:rsidRPr="00BE6641">
              <w:rPr>
                <w:bCs/>
                <w:sz w:val="20"/>
                <w:szCs w:val="20"/>
              </w:rPr>
              <w:instrText xml:space="preserve"> NUMPAGES  </w:instrText>
            </w:r>
            <w:r w:rsidRPr="00BE6641">
              <w:rPr>
                <w:bCs/>
                <w:sz w:val="20"/>
                <w:szCs w:val="20"/>
              </w:rPr>
              <w:fldChar w:fldCharType="separate"/>
            </w:r>
            <w:r w:rsidRPr="00BE6641">
              <w:rPr>
                <w:bCs/>
                <w:noProof/>
                <w:sz w:val="20"/>
                <w:szCs w:val="20"/>
              </w:rPr>
              <w:t>2</w:t>
            </w:r>
            <w:r w:rsidRPr="00BE6641">
              <w:rPr>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21669564"/>
      <w:docPartObj>
        <w:docPartGallery w:val="Page Numbers (Bottom of Page)"/>
        <w:docPartUnique/>
      </w:docPartObj>
    </w:sdtPr>
    <w:sdtEndPr/>
    <w:sdtContent>
      <w:sdt>
        <w:sdtPr>
          <w:rPr>
            <w:sz w:val="20"/>
          </w:rPr>
          <w:id w:val="-1513597824"/>
          <w:docPartObj>
            <w:docPartGallery w:val="Page Numbers (Top of Page)"/>
            <w:docPartUnique/>
          </w:docPartObj>
        </w:sdtPr>
        <w:sdtEndPr/>
        <w:sdtContent>
          <w:p w14:paraId="1CD74CA5" w14:textId="607D5276" w:rsidR="004601B5" w:rsidRPr="00EA1163" w:rsidRDefault="00752F94" w:rsidP="00EA1163">
            <w:pPr>
              <w:pStyle w:val="Footer"/>
              <w:jc w:val="center"/>
              <w:rPr>
                <w:sz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167980126"/>
      <w:docPartObj>
        <w:docPartGallery w:val="Page Numbers (Bottom of Page)"/>
        <w:docPartUnique/>
      </w:docPartObj>
    </w:sdtPr>
    <w:sdtEndPr/>
    <w:sdtContent>
      <w:sdt>
        <w:sdtPr>
          <w:rPr>
            <w:sz w:val="20"/>
          </w:rPr>
          <w:id w:val="-663242776"/>
          <w:docPartObj>
            <w:docPartGallery w:val="Page Numbers (Top of Page)"/>
            <w:docPartUnique/>
          </w:docPartObj>
        </w:sdtPr>
        <w:sdtEndPr/>
        <w:sdtContent>
          <w:p w14:paraId="4FFCD1D1" w14:textId="77777777" w:rsidR="004601B5" w:rsidRPr="00EA1163" w:rsidRDefault="004601B5" w:rsidP="00EA1163">
            <w:pPr>
              <w:pStyle w:val="Footer"/>
              <w:jc w:val="center"/>
              <w:rPr>
                <w:sz w:val="20"/>
              </w:rPr>
            </w:pPr>
            <w:r w:rsidRPr="00EA1163">
              <w:rPr>
                <w:sz w:val="20"/>
              </w:rPr>
              <w:t xml:space="preserve">Page </w:t>
            </w:r>
            <w:r w:rsidRPr="00EA1163">
              <w:rPr>
                <w:bCs/>
                <w:sz w:val="20"/>
                <w:szCs w:val="24"/>
              </w:rPr>
              <w:fldChar w:fldCharType="begin"/>
            </w:r>
            <w:r w:rsidRPr="00EA1163">
              <w:rPr>
                <w:bCs/>
                <w:sz w:val="20"/>
              </w:rPr>
              <w:instrText xml:space="preserve"> PAGE </w:instrText>
            </w:r>
            <w:r w:rsidRPr="00EA1163">
              <w:rPr>
                <w:bCs/>
                <w:sz w:val="20"/>
                <w:szCs w:val="24"/>
              </w:rPr>
              <w:fldChar w:fldCharType="separate"/>
            </w:r>
            <w:r w:rsidRPr="00EA1163">
              <w:rPr>
                <w:bCs/>
                <w:noProof/>
                <w:sz w:val="20"/>
              </w:rPr>
              <w:t>2</w:t>
            </w:r>
            <w:r w:rsidRPr="00EA1163">
              <w:rPr>
                <w:bCs/>
                <w:sz w:val="20"/>
                <w:szCs w:val="24"/>
              </w:rPr>
              <w:fldChar w:fldCharType="end"/>
            </w:r>
            <w:r w:rsidRPr="00EA1163">
              <w:rPr>
                <w:sz w:val="20"/>
              </w:rPr>
              <w:t xml:space="preserve"> of </w:t>
            </w:r>
            <w:r w:rsidRPr="00EA1163">
              <w:rPr>
                <w:bCs/>
                <w:sz w:val="20"/>
                <w:szCs w:val="24"/>
              </w:rPr>
              <w:fldChar w:fldCharType="begin"/>
            </w:r>
            <w:r w:rsidRPr="00EA1163">
              <w:rPr>
                <w:bCs/>
                <w:sz w:val="20"/>
              </w:rPr>
              <w:instrText xml:space="preserve"> NUMPAGES  </w:instrText>
            </w:r>
            <w:r w:rsidRPr="00EA1163">
              <w:rPr>
                <w:bCs/>
                <w:sz w:val="20"/>
                <w:szCs w:val="24"/>
              </w:rPr>
              <w:fldChar w:fldCharType="separate"/>
            </w:r>
            <w:r w:rsidRPr="00EA1163">
              <w:rPr>
                <w:bCs/>
                <w:noProof/>
                <w:sz w:val="20"/>
              </w:rPr>
              <w:t>2</w:t>
            </w:r>
            <w:r w:rsidRPr="00EA1163">
              <w:rPr>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257C2" w14:textId="77777777" w:rsidR="00752F94" w:rsidRDefault="00752F94" w:rsidP="00B9071F">
      <w:pPr>
        <w:spacing w:after="0" w:line="240" w:lineRule="auto"/>
      </w:pPr>
      <w:r>
        <w:separator/>
      </w:r>
    </w:p>
  </w:footnote>
  <w:footnote w:type="continuationSeparator" w:id="0">
    <w:p w14:paraId="35EE0369" w14:textId="77777777" w:rsidR="00752F94" w:rsidRDefault="00752F94" w:rsidP="00B9071F">
      <w:pPr>
        <w:spacing w:after="0" w:line="240" w:lineRule="auto"/>
      </w:pPr>
      <w:r>
        <w:continuationSeparator/>
      </w:r>
    </w:p>
  </w:footnote>
  <w:footnote w:id="1">
    <w:p w14:paraId="65519A96" w14:textId="77777777" w:rsidR="004601B5" w:rsidRPr="00CA5049" w:rsidRDefault="004601B5" w:rsidP="00B9071F">
      <w:pPr>
        <w:pStyle w:val="Footnote"/>
        <w:rPr>
          <w:sz w:val="20"/>
          <w:szCs w:val="20"/>
        </w:rPr>
      </w:pPr>
      <w:r w:rsidRPr="00CA5049">
        <w:rPr>
          <w:rStyle w:val="FootnoteReference"/>
          <w:sz w:val="20"/>
          <w:szCs w:val="20"/>
        </w:rPr>
        <w:footnoteRef/>
      </w:r>
      <w:r w:rsidRPr="00CA5049">
        <w:rPr>
          <w:sz w:val="20"/>
          <w:szCs w:val="20"/>
        </w:rPr>
        <w:t xml:space="preserve"> Institutional Reform and Development Plan – IRDP, NFA Medium-term Development Programme for 2017-2019, LEPL National Food Agency of the Ministry of Agriculture of Georgia, Tbilisi, 2016.</w:t>
      </w:r>
    </w:p>
  </w:footnote>
  <w:footnote w:id="2">
    <w:p w14:paraId="06A4546C" w14:textId="77777777" w:rsidR="004601B5" w:rsidRPr="00CA5049" w:rsidRDefault="004601B5" w:rsidP="00B9071F">
      <w:pPr>
        <w:pStyle w:val="Footnote"/>
        <w:rPr>
          <w:sz w:val="20"/>
          <w:szCs w:val="20"/>
        </w:rPr>
      </w:pPr>
      <w:r w:rsidRPr="00CA5049">
        <w:rPr>
          <w:rStyle w:val="FootnoteReference"/>
          <w:sz w:val="20"/>
          <w:szCs w:val="20"/>
        </w:rPr>
        <w:footnoteRef/>
      </w:r>
      <w:r w:rsidRPr="00CA5049">
        <w:rPr>
          <w:sz w:val="20"/>
          <w:szCs w:val="20"/>
        </w:rPr>
        <w:t xml:space="preserve"> Annual plans for reforms are highlighted in key reform documents, such as “Georgia’s Action Plan for the Implementation of DCFTA, 2014-2017”, the “DCFTA-AA Approximation plan 2015-2027”, and the NFA’s “Institutional Reform and Development Plan, 2017-2019”.</w:t>
      </w:r>
    </w:p>
  </w:footnote>
  <w:footnote w:id="3">
    <w:p w14:paraId="6947643C" w14:textId="77777777" w:rsidR="004601B5" w:rsidRPr="00CA5049" w:rsidRDefault="004601B5" w:rsidP="00B9071F">
      <w:pPr>
        <w:pStyle w:val="Footnote"/>
        <w:rPr>
          <w:sz w:val="20"/>
          <w:szCs w:val="20"/>
        </w:rPr>
      </w:pPr>
      <w:r w:rsidRPr="00CA5049">
        <w:rPr>
          <w:rStyle w:val="FootnoteReference"/>
          <w:sz w:val="20"/>
          <w:szCs w:val="20"/>
        </w:rPr>
        <w:footnoteRef/>
      </w:r>
      <w:r w:rsidRPr="00CA5049">
        <w:rPr>
          <w:sz w:val="20"/>
          <w:szCs w:val="20"/>
        </w:rPr>
        <w:t xml:space="preserve"> Rosalind Edwards and Janet Holland, “What is Qualitative Interviewing?”, A&amp;C Black, 2013.</w:t>
      </w:r>
    </w:p>
  </w:footnote>
  <w:footnote w:id="4">
    <w:p w14:paraId="72DD4A0E" w14:textId="77777777" w:rsidR="004601B5" w:rsidRPr="00CA5049" w:rsidRDefault="004601B5" w:rsidP="00B9071F">
      <w:pPr>
        <w:pStyle w:val="Footnote"/>
        <w:rPr>
          <w:sz w:val="20"/>
          <w:szCs w:val="20"/>
        </w:rPr>
      </w:pPr>
      <w:r w:rsidRPr="00CA5049">
        <w:rPr>
          <w:rStyle w:val="FootnoteReference"/>
          <w:sz w:val="20"/>
          <w:szCs w:val="20"/>
        </w:rPr>
        <w:footnoteRef/>
      </w:r>
      <w:r w:rsidRPr="00CA5049">
        <w:rPr>
          <w:sz w:val="20"/>
          <w:szCs w:val="20"/>
        </w:rPr>
        <w:t xml:space="preserve"> Herbert J. Rubin and Irene S. Rubin, “Qualitative Interviewing: The Art of Hearing Data”, 3rd Ed. SAGE Publications Inc, 2012.</w:t>
      </w:r>
    </w:p>
  </w:footnote>
  <w:footnote w:id="5">
    <w:p w14:paraId="2E6EE962" w14:textId="15A779F9" w:rsidR="004601B5" w:rsidRPr="00CA5049" w:rsidRDefault="004601B5" w:rsidP="00B9071F">
      <w:pPr>
        <w:pStyle w:val="Footnote"/>
        <w:rPr>
          <w:sz w:val="20"/>
          <w:szCs w:val="20"/>
        </w:rPr>
      </w:pPr>
      <w:r w:rsidRPr="00CA5049">
        <w:rPr>
          <w:rStyle w:val="FootnoteReference"/>
          <w:sz w:val="20"/>
          <w:szCs w:val="20"/>
        </w:rPr>
        <w:footnoteRef/>
      </w:r>
      <w:r w:rsidRPr="00CA5049">
        <w:rPr>
          <w:sz w:val="20"/>
          <w:szCs w:val="20"/>
        </w:rPr>
        <w:t xml:space="preserve"> See Annex 10 for a full list of respondents interviewed.</w:t>
      </w:r>
    </w:p>
  </w:footnote>
  <w:footnote w:id="6">
    <w:p w14:paraId="6FFC1676" w14:textId="77777777" w:rsidR="004601B5" w:rsidRPr="00CA5049" w:rsidRDefault="004601B5" w:rsidP="00B9071F">
      <w:pPr>
        <w:pStyle w:val="Footnote"/>
        <w:rPr>
          <w:sz w:val="20"/>
          <w:szCs w:val="20"/>
        </w:rPr>
      </w:pPr>
      <w:r w:rsidRPr="00CA5049">
        <w:rPr>
          <w:rStyle w:val="FootnoteReference"/>
          <w:sz w:val="20"/>
          <w:szCs w:val="20"/>
        </w:rPr>
        <w:footnoteRef/>
      </w:r>
      <w:r w:rsidRPr="00CA5049">
        <w:rPr>
          <w:sz w:val="20"/>
          <w:szCs w:val="20"/>
        </w:rPr>
        <w:t xml:space="preserve"> See Annex 1 for a full list and descriptions of the legal instruments approximated in 2017.</w:t>
      </w:r>
    </w:p>
  </w:footnote>
  <w:footnote w:id="7">
    <w:p w14:paraId="34F6A01C" w14:textId="77777777" w:rsidR="004601B5" w:rsidRPr="00CA5049" w:rsidRDefault="004601B5" w:rsidP="00B9071F">
      <w:pPr>
        <w:pStyle w:val="FootnoteText"/>
        <w:rPr>
          <w:sz w:val="20"/>
        </w:rPr>
      </w:pPr>
      <w:r w:rsidRPr="00CA5049">
        <w:rPr>
          <w:rStyle w:val="FootnoteReference"/>
          <w:sz w:val="20"/>
        </w:rPr>
        <w:footnoteRef/>
      </w:r>
      <w:r w:rsidRPr="00CA5049">
        <w:rPr>
          <w:sz w:val="20"/>
        </w:rPr>
        <w:t xml:space="preserve"> “Assessment of the Georgian Government's Food Safety Reform Efforts in 2016”, Europe Foundation, 2017, </w:t>
      </w:r>
      <w:hyperlink r:id="rId1" w:history="1">
        <w:r w:rsidRPr="00CA5049">
          <w:rPr>
            <w:rStyle w:val="Hyperlink"/>
            <w:sz w:val="20"/>
          </w:rPr>
          <w:t>http://www.epfound.ge/wp-content/uploads/2017/06/2016-SPS-Report-in-English.pdf</w:t>
        </w:r>
      </w:hyperlink>
      <w:r w:rsidRPr="00CA5049">
        <w:rPr>
          <w:sz w:val="20"/>
        </w:rPr>
        <w:t xml:space="preserve">. </w:t>
      </w:r>
    </w:p>
  </w:footnote>
  <w:footnote w:id="8">
    <w:p w14:paraId="526D24B9" w14:textId="3758F276" w:rsidR="004601B5" w:rsidRPr="002771FB" w:rsidRDefault="004601B5">
      <w:pPr>
        <w:pStyle w:val="FootnoteText"/>
        <w:rPr>
          <w:sz w:val="20"/>
        </w:rPr>
      </w:pPr>
      <w:r w:rsidRPr="002771FB">
        <w:rPr>
          <w:rStyle w:val="FootnoteReference"/>
          <w:sz w:val="20"/>
        </w:rPr>
        <w:footnoteRef/>
      </w:r>
      <w:r w:rsidRPr="002771FB">
        <w:rPr>
          <w:sz w:val="20"/>
        </w:rPr>
        <w:t xml:space="preserve"> For more details, see Annex 5.</w:t>
      </w:r>
    </w:p>
  </w:footnote>
  <w:footnote w:id="9">
    <w:p w14:paraId="746913BB" w14:textId="77777777" w:rsidR="004601B5" w:rsidRPr="002771FB" w:rsidRDefault="004601B5" w:rsidP="00B9071F">
      <w:pPr>
        <w:pStyle w:val="FootnoteText"/>
        <w:rPr>
          <w:sz w:val="20"/>
        </w:rPr>
      </w:pPr>
      <w:r w:rsidRPr="00080BBF">
        <w:rPr>
          <w:rStyle w:val="FootnoteReference"/>
          <w:sz w:val="20"/>
        </w:rPr>
        <w:footnoteRef/>
      </w:r>
      <w:r w:rsidRPr="00080BBF">
        <w:rPr>
          <w:sz w:val="20"/>
        </w:rPr>
        <w:t xml:space="preserve"> See Annex 2 for a full list of the NFA’s capacity buildings trainings in 2017</w:t>
      </w:r>
      <w:r w:rsidRPr="002771FB">
        <w:rPr>
          <w:sz w:val="20"/>
        </w:rPr>
        <w:t>.</w:t>
      </w:r>
    </w:p>
  </w:footnote>
  <w:footnote w:id="10">
    <w:p w14:paraId="791297E0" w14:textId="77777777" w:rsidR="004601B5" w:rsidRPr="005A2418" w:rsidRDefault="004601B5" w:rsidP="00B119A9">
      <w:pPr>
        <w:pStyle w:val="FootnoteText"/>
        <w:rPr>
          <w:sz w:val="20"/>
        </w:rPr>
      </w:pPr>
      <w:r w:rsidRPr="005A2418">
        <w:rPr>
          <w:rStyle w:val="FootnoteReference"/>
          <w:sz w:val="20"/>
        </w:rPr>
        <w:footnoteRef/>
      </w:r>
      <w:r w:rsidRPr="005A2418">
        <w:rPr>
          <w:sz w:val="20"/>
        </w:rPr>
        <w:t xml:space="preserve"> For more information, see Annex 5.</w:t>
      </w:r>
    </w:p>
  </w:footnote>
  <w:footnote w:id="11">
    <w:p w14:paraId="5DF265F3" w14:textId="0DC1D949" w:rsidR="004601B5" w:rsidRPr="002771FB" w:rsidRDefault="004601B5" w:rsidP="001748EE">
      <w:pPr>
        <w:pStyle w:val="FootnoteText"/>
        <w:rPr>
          <w:sz w:val="20"/>
        </w:rPr>
      </w:pPr>
      <w:r w:rsidRPr="00080BBF">
        <w:rPr>
          <w:rStyle w:val="FootnoteReference"/>
          <w:sz w:val="20"/>
        </w:rPr>
        <w:footnoteRef/>
      </w:r>
      <w:r w:rsidRPr="00080BBF">
        <w:rPr>
          <w:sz w:val="20"/>
        </w:rPr>
        <w:t xml:space="preserve"> </w:t>
      </w:r>
      <w:r w:rsidRPr="002771FB">
        <w:rPr>
          <w:sz w:val="20"/>
        </w:rPr>
        <w:t>For further details on the NFA’s activities, see Annex 4.</w:t>
      </w:r>
    </w:p>
  </w:footnote>
  <w:footnote w:id="12">
    <w:p w14:paraId="73DEEF39" w14:textId="68B6BC91" w:rsidR="004601B5" w:rsidRPr="002771FB" w:rsidRDefault="004601B5">
      <w:pPr>
        <w:pStyle w:val="FootnoteText"/>
        <w:rPr>
          <w:sz w:val="20"/>
        </w:rPr>
      </w:pPr>
      <w:r w:rsidRPr="00080BBF">
        <w:rPr>
          <w:rStyle w:val="FootnoteReference"/>
          <w:sz w:val="20"/>
        </w:rPr>
        <w:footnoteRef/>
      </w:r>
      <w:r w:rsidRPr="00080BBF">
        <w:rPr>
          <w:sz w:val="20"/>
        </w:rPr>
        <w:t xml:space="preserve"> For more details, see Annex 3</w:t>
      </w:r>
      <w:r w:rsidRPr="002771FB">
        <w:rPr>
          <w:sz w:val="20"/>
        </w:rPr>
        <w:t>.</w:t>
      </w:r>
    </w:p>
  </w:footnote>
  <w:footnote w:id="13">
    <w:p w14:paraId="0758D278" w14:textId="77777777" w:rsidR="004601B5" w:rsidRPr="00080BBF" w:rsidRDefault="004601B5" w:rsidP="00A342DB">
      <w:pPr>
        <w:pStyle w:val="FootnoteText"/>
        <w:rPr>
          <w:sz w:val="20"/>
        </w:rPr>
      </w:pPr>
      <w:r w:rsidRPr="00080BBF">
        <w:rPr>
          <w:rStyle w:val="FootnoteReference"/>
          <w:sz w:val="20"/>
        </w:rPr>
        <w:footnoteRef/>
      </w:r>
      <w:r w:rsidRPr="00080BBF">
        <w:rPr>
          <w:sz w:val="20"/>
        </w:rPr>
        <w:t xml:space="preserve"> Form 2 demonstrates that the animal was slaughtered under veterinary control.</w:t>
      </w:r>
    </w:p>
  </w:footnote>
  <w:footnote w:id="14">
    <w:p w14:paraId="214406F9" w14:textId="54FF08BE" w:rsidR="004601B5" w:rsidRPr="002771FB" w:rsidRDefault="004601B5" w:rsidP="006007FA">
      <w:pPr>
        <w:pStyle w:val="FootnoteText"/>
        <w:rPr>
          <w:sz w:val="20"/>
        </w:rPr>
      </w:pPr>
      <w:r w:rsidRPr="00080BBF">
        <w:rPr>
          <w:rStyle w:val="FootnoteReference"/>
          <w:sz w:val="20"/>
        </w:rPr>
        <w:footnoteRef/>
      </w:r>
      <w:r w:rsidRPr="00080BBF">
        <w:rPr>
          <w:sz w:val="20"/>
        </w:rPr>
        <w:t xml:space="preserve"> For more details, see</w:t>
      </w:r>
      <w:r w:rsidRPr="002771FB">
        <w:rPr>
          <w:rFonts w:cs="Times New Roman"/>
          <w:sz w:val="20"/>
        </w:rPr>
        <w:t xml:space="preserve"> Annex 5 and 6.</w:t>
      </w:r>
    </w:p>
  </w:footnote>
  <w:footnote w:id="15">
    <w:p w14:paraId="0F2B8B40" w14:textId="21CB664C" w:rsidR="004601B5" w:rsidRPr="00080BBF" w:rsidRDefault="004601B5">
      <w:pPr>
        <w:pStyle w:val="FootnoteText"/>
        <w:rPr>
          <w:sz w:val="20"/>
        </w:rPr>
      </w:pPr>
      <w:r w:rsidRPr="00080BBF">
        <w:rPr>
          <w:rStyle w:val="FootnoteReference"/>
          <w:sz w:val="20"/>
        </w:rPr>
        <w:footnoteRef/>
      </w:r>
      <w:r w:rsidRPr="00080BBF">
        <w:rPr>
          <w:sz w:val="20"/>
        </w:rPr>
        <w:t xml:space="preserve"> For more details, see Annex 7.</w:t>
      </w:r>
    </w:p>
  </w:footnote>
  <w:footnote w:id="16">
    <w:p w14:paraId="2F02D649" w14:textId="56FF3F35" w:rsidR="004601B5" w:rsidRPr="00080BBF" w:rsidRDefault="004601B5" w:rsidP="0068779F">
      <w:pPr>
        <w:pStyle w:val="FootnoteText"/>
        <w:rPr>
          <w:sz w:val="20"/>
        </w:rPr>
      </w:pPr>
      <w:r w:rsidRPr="00080BBF">
        <w:rPr>
          <w:rStyle w:val="FootnoteReference"/>
          <w:sz w:val="20"/>
        </w:rPr>
        <w:footnoteRef/>
      </w:r>
      <w:r w:rsidRPr="00080BBF">
        <w:rPr>
          <w:sz w:val="20"/>
        </w:rPr>
        <w:t xml:space="preserve"> “Determination of Food Business Operators’ Awareness Level and Assessment of the Activities of the National Food Agency in the Field of Food Safety”, Psycho Project, 2017.</w:t>
      </w:r>
    </w:p>
  </w:footnote>
  <w:footnote w:id="17">
    <w:p w14:paraId="3EA78D7E" w14:textId="29ADF08C" w:rsidR="004601B5" w:rsidRPr="00080BBF" w:rsidRDefault="004601B5">
      <w:pPr>
        <w:pStyle w:val="FootnoteText"/>
        <w:rPr>
          <w:sz w:val="20"/>
        </w:rPr>
      </w:pPr>
      <w:r w:rsidRPr="00080BBF">
        <w:rPr>
          <w:rStyle w:val="FootnoteReference"/>
          <w:sz w:val="20"/>
        </w:rPr>
        <w:footnoteRef/>
      </w:r>
      <w:r w:rsidRPr="00080BBF">
        <w:rPr>
          <w:sz w:val="20"/>
        </w:rPr>
        <w:t xml:space="preserve"> Ibid.</w:t>
      </w:r>
    </w:p>
  </w:footnote>
  <w:footnote w:id="18">
    <w:p w14:paraId="3800EA42" w14:textId="4A85EB0D" w:rsidR="004601B5" w:rsidRPr="00080BBF" w:rsidRDefault="004601B5" w:rsidP="00B9071F">
      <w:pPr>
        <w:pStyle w:val="FootnoteText"/>
        <w:rPr>
          <w:sz w:val="20"/>
        </w:rPr>
      </w:pPr>
      <w:r w:rsidRPr="00080BBF">
        <w:rPr>
          <w:rStyle w:val="FootnoteReference"/>
          <w:sz w:val="20"/>
        </w:rPr>
        <w:footnoteRef/>
      </w:r>
      <w:r w:rsidRPr="00080BBF">
        <w:rPr>
          <w:sz w:val="20"/>
        </w:rPr>
        <w:t xml:space="preserve"> See Annex 8 for more details.</w:t>
      </w:r>
    </w:p>
  </w:footnote>
  <w:footnote w:id="19">
    <w:p w14:paraId="1627C36A" w14:textId="59F31386" w:rsidR="004601B5" w:rsidRPr="00080BBF" w:rsidRDefault="004601B5" w:rsidP="00B9071F">
      <w:pPr>
        <w:pStyle w:val="FootnoteText"/>
        <w:rPr>
          <w:sz w:val="20"/>
        </w:rPr>
      </w:pPr>
      <w:r w:rsidRPr="00080BBF">
        <w:rPr>
          <w:rStyle w:val="FootnoteReference"/>
          <w:sz w:val="20"/>
        </w:rPr>
        <w:footnoteRef/>
      </w:r>
      <w:r w:rsidRPr="00080BBF">
        <w:rPr>
          <w:sz w:val="20"/>
        </w:rPr>
        <w:t xml:space="preserve"> See Annex 9 for more details.</w:t>
      </w:r>
    </w:p>
  </w:footnote>
  <w:footnote w:id="20">
    <w:p w14:paraId="191992CF" w14:textId="2602608A" w:rsidR="004601B5" w:rsidRPr="00080BBF" w:rsidRDefault="004601B5">
      <w:pPr>
        <w:pStyle w:val="FootnoteText"/>
        <w:rPr>
          <w:sz w:val="20"/>
        </w:rPr>
      </w:pPr>
      <w:r w:rsidRPr="00080BBF">
        <w:rPr>
          <w:rStyle w:val="FootnoteReference"/>
          <w:sz w:val="20"/>
        </w:rPr>
        <w:footnoteRef/>
      </w:r>
      <w:r w:rsidRPr="00080BBF">
        <w:rPr>
          <w:sz w:val="20"/>
        </w:rPr>
        <w:t xml:space="preserve"> See the section “CSO Activities” on page 30 for more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B72DA" w14:textId="77777777" w:rsidR="004601B5" w:rsidRPr="00C76130" w:rsidRDefault="004601B5" w:rsidP="00FF581B">
    <w:pPr>
      <w:pStyle w:val="Header"/>
      <w:jc w:val="center"/>
      <w:rPr>
        <w:b/>
        <w:color w:val="7F7F7F" w:themeColor="text1" w:themeTint="80"/>
        <w:sz w:val="18"/>
      </w:rPr>
    </w:pPr>
    <w:r w:rsidRPr="009D51FF">
      <w:rPr>
        <w:b/>
        <w:sz w:val="18"/>
      </w:rPr>
      <w:t>201</w:t>
    </w:r>
    <w:r>
      <w:rPr>
        <w:b/>
        <w:sz w:val="18"/>
      </w:rPr>
      <w:t>7</w:t>
    </w:r>
    <w:r w:rsidRPr="009D51FF">
      <w:rPr>
        <w:b/>
        <w:sz w:val="18"/>
      </w:rPr>
      <w:t xml:space="preserve"> Assessment of the Georgian Government’s Food Safety Reforms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6FC"/>
    <w:multiLevelType w:val="hybridMultilevel"/>
    <w:tmpl w:val="3768066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53F046C"/>
    <w:multiLevelType w:val="hybridMultilevel"/>
    <w:tmpl w:val="4F583C4C"/>
    <w:lvl w:ilvl="0" w:tplc="BF2A37CC">
      <w:start w:val="1"/>
      <w:numFmt w:val="upperLetter"/>
      <w:pStyle w:val="Heading2"/>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8DE6741"/>
    <w:multiLevelType w:val="hybridMultilevel"/>
    <w:tmpl w:val="E330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A7C3F"/>
    <w:multiLevelType w:val="hybridMultilevel"/>
    <w:tmpl w:val="9990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B6123"/>
    <w:multiLevelType w:val="hybridMultilevel"/>
    <w:tmpl w:val="9DF2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77240"/>
    <w:multiLevelType w:val="hybridMultilevel"/>
    <w:tmpl w:val="7E7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E6E8A"/>
    <w:multiLevelType w:val="hybridMultilevel"/>
    <w:tmpl w:val="CB7E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66F63"/>
    <w:multiLevelType w:val="hybridMultilevel"/>
    <w:tmpl w:val="F490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F1163"/>
    <w:multiLevelType w:val="hybridMultilevel"/>
    <w:tmpl w:val="60A2A756"/>
    <w:lvl w:ilvl="0" w:tplc="FB3CD056">
      <w:start w:val="1"/>
      <w:numFmt w:val="bullet"/>
      <w:pStyle w:val="Lis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9741C"/>
    <w:multiLevelType w:val="hybridMultilevel"/>
    <w:tmpl w:val="613A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E13A4"/>
    <w:multiLevelType w:val="hybridMultilevel"/>
    <w:tmpl w:val="5AB6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70F2F"/>
    <w:multiLevelType w:val="hybridMultilevel"/>
    <w:tmpl w:val="62FCCA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590B"/>
    <w:multiLevelType w:val="hybridMultilevel"/>
    <w:tmpl w:val="6BB6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52E3E"/>
    <w:multiLevelType w:val="hybridMultilevel"/>
    <w:tmpl w:val="D55A763E"/>
    <w:lvl w:ilvl="0" w:tplc="8A660994">
      <w:start w:val="1"/>
      <w:numFmt w:val="bullet"/>
      <w:lvlText w:val=""/>
      <w:lvlJc w:val="left"/>
      <w:pPr>
        <w:ind w:left="720" w:hanging="360"/>
      </w:pPr>
      <w:rPr>
        <w:rFonts w:ascii="Symbol" w:hAnsi="Symbol" w:hint="default"/>
      </w:rPr>
    </w:lvl>
    <w:lvl w:ilvl="1" w:tplc="25E401B4">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5E401B4">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05804"/>
    <w:multiLevelType w:val="hybridMultilevel"/>
    <w:tmpl w:val="5728F478"/>
    <w:lvl w:ilvl="0" w:tplc="574A21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90A0F"/>
    <w:multiLevelType w:val="hybridMultilevel"/>
    <w:tmpl w:val="06927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20741"/>
    <w:multiLevelType w:val="hybridMultilevel"/>
    <w:tmpl w:val="051E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117C5"/>
    <w:multiLevelType w:val="hybridMultilevel"/>
    <w:tmpl w:val="28FE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0488F"/>
    <w:multiLevelType w:val="hybridMultilevel"/>
    <w:tmpl w:val="BFAA8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E5AD3"/>
    <w:multiLevelType w:val="multilevel"/>
    <w:tmpl w:val="9B023042"/>
    <w:numStyleLink w:val="Tyyli1"/>
  </w:abstractNum>
  <w:abstractNum w:abstractNumId="20" w15:restartNumberingAfterBreak="0">
    <w:nsid w:val="42EE73BB"/>
    <w:multiLevelType w:val="hybridMultilevel"/>
    <w:tmpl w:val="F572B3A4"/>
    <w:lvl w:ilvl="0" w:tplc="77F8F058">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3957812"/>
    <w:multiLevelType w:val="hybridMultilevel"/>
    <w:tmpl w:val="2C98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E702E"/>
    <w:multiLevelType w:val="hybridMultilevel"/>
    <w:tmpl w:val="422E4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0A7173"/>
    <w:multiLevelType w:val="hybridMultilevel"/>
    <w:tmpl w:val="413E5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A1C86"/>
    <w:multiLevelType w:val="multilevel"/>
    <w:tmpl w:val="9B023042"/>
    <w:styleLink w:val="Tyyli1"/>
    <w:lvl w:ilvl="0">
      <w:start w:val="1"/>
      <w:numFmt w:val="upperLetter"/>
      <w:lvlText w:val="%1."/>
      <w:lvlJc w:val="left"/>
      <w:pPr>
        <w:ind w:left="4472"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 w15:restartNumberingAfterBreak="0">
    <w:nsid w:val="5C445BBC"/>
    <w:multiLevelType w:val="multilevel"/>
    <w:tmpl w:val="9B023042"/>
    <w:lvl w:ilvl="0">
      <w:start w:val="1"/>
      <w:numFmt w:val="upperLetter"/>
      <w:lvlText w:val="%1."/>
      <w:lvlJc w:val="left"/>
      <w:pPr>
        <w:ind w:left="4472"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6" w15:restartNumberingAfterBreak="0">
    <w:nsid w:val="5D390C3C"/>
    <w:multiLevelType w:val="hybridMultilevel"/>
    <w:tmpl w:val="14E8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920EB"/>
    <w:multiLevelType w:val="hybridMultilevel"/>
    <w:tmpl w:val="30BAA722"/>
    <w:lvl w:ilvl="0" w:tplc="04090001">
      <w:start w:val="1"/>
      <w:numFmt w:val="bullet"/>
      <w:lvlText w:val=""/>
      <w:lvlJc w:val="left"/>
      <w:pPr>
        <w:ind w:left="862" w:hanging="72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606F4BCF"/>
    <w:multiLevelType w:val="hybridMultilevel"/>
    <w:tmpl w:val="D1BC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D4A7C"/>
    <w:multiLevelType w:val="multilevel"/>
    <w:tmpl w:val="9B023042"/>
    <w:numStyleLink w:val="Tyyli1"/>
  </w:abstractNum>
  <w:abstractNum w:abstractNumId="30" w15:restartNumberingAfterBreak="0">
    <w:nsid w:val="65E70DCE"/>
    <w:multiLevelType w:val="hybridMultilevel"/>
    <w:tmpl w:val="B520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A75E1"/>
    <w:multiLevelType w:val="hybridMultilevel"/>
    <w:tmpl w:val="1F9888F6"/>
    <w:lvl w:ilvl="0" w:tplc="CB762A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87E35"/>
    <w:multiLevelType w:val="hybridMultilevel"/>
    <w:tmpl w:val="112C1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73D81"/>
    <w:multiLevelType w:val="hybridMultilevel"/>
    <w:tmpl w:val="773E2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C670D1D"/>
    <w:multiLevelType w:val="hybridMultilevel"/>
    <w:tmpl w:val="85EE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F77B4"/>
    <w:multiLevelType w:val="hybridMultilevel"/>
    <w:tmpl w:val="0198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27400C"/>
    <w:multiLevelType w:val="hybridMultilevel"/>
    <w:tmpl w:val="B93C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9C35E1"/>
    <w:multiLevelType w:val="hybridMultilevel"/>
    <w:tmpl w:val="96280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024791"/>
    <w:multiLevelType w:val="hybridMultilevel"/>
    <w:tmpl w:val="A1D8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26EC6"/>
    <w:multiLevelType w:val="multilevel"/>
    <w:tmpl w:val="9B023042"/>
    <w:numStyleLink w:val="Tyyli1"/>
  </w:abstractNum>
  <w:num w:numId="1">
    <w:abstractNumId w:val="1"/>
  </w:num>
  <w:num w:numId="2">
    <w:abstractNumId w:val="1"/>
    <w:lvlOverride w:ilvl="0">
      <w:startOverride w:val="1"/>
    </w:lvlOverride>
  </w:num>
  <w:num w:numId="3">
    <w:abstractNumId w:val="27"/>
  </w:num>
  <w:num w:numId="4">
    <w:abstractNumId w:val="1"/>
    <w:lvlOverride w:ilvl="0">
      <w:startOverride w:val="1"/>
    </w:lvlOverride>
  </w:num>
  <w:num w:numId="5">
    <w:abstractNumId w:val="13"/>
  </w:num>
  <w:num w:numId="6">
    <w:abstractNumId w:val="38"/>
  </w:num>
  <w:num w:numId="7">
    <w:abstractNumId w:val="1"/>
    <w:lvlOverride w:ilvl="0">
      <w:startOverride w:val="1"/>
    </w:lvlOverride>
  </w:num>
  <w:num w:numId="8">
    <w:abstractNumId w:val="8"/>
  </w:num>
  <w:num w:numId="9">
    <w:abstractNumId w:val="28"/>
  </w:num>
  <w:num w:numId="10">
    <w:abstractNumId w:val="1"/>
    <w:lvlOverride w:ilvl="0">
      <w:startOverride w:val="1"/>
    </w:lvlOverride>
  </w:num>
  <w:num w:numId="11">
    <w:abstractNumId w:val="22"/>
  </w:num>
  <w:num w:numId="12">
    <w:abstractNumId w:val="37"/>
  </w:num>
  <w:num w:numId="13">
    <w:abstractNumId w:val="3"/>
  </w:num>
  <w:num w:numId="14">
    <w:abstractNumId w:val="5"/>
  </w:num>
  <w:num w:numId="15">
    <w:abstractNumId w:val="7"/>
  </w:num>
  <w:num w:numId="16">
    <w:abstractNumId w:val="10"/>
  </w:num>
  <w:num w:numId="17">
    <w:abstractNumId w:val="34"/>
  </w:num>
  <w:num w:numId="18">
    <w:abstractNumId w:val="6"/>
  </w:num>
  <w:num w:numId="19">
    <w:abstractNumId w:val="32"/>
  </w:num>
  <w:num w:numId="20">
    <w:abstractNumId w:val="2"/>
  </w:num>
  <w:num w:numId="21">
    <w:abstractNumId w:val="4"/>
  </w:num>
  <w:num w:numId="22">
    <w:abstractNumId w:val="12"/>
  </w:num>
  <w:num w:numId="23">
    <w:abstractNumId w:val="30"/>
  </w:num>
  <w:num w:numId="24">
    <w:abstractNumId w:val="17"/>
  </w:num>
  <w:num w:numId="25">
    <w:abstractNumId w:val="16"/>
  </w:num>
  <w:num w:numId="26">
    <w:abstractNumId w:val="26"/>
  </w:num>
  <w:num w:numId="27">
    <w:abstractNumId w:val="21"/>
  </w:num>
  <w:num w:numId="28">
    <w:abstractNumId w:val="18"/>
  </w:num>
  <w:num w:numId="29">
    <w:abstractNumId w:val="23"/>
  </w:num>
  <w:num w:numId="30">
    <w:abstractNumId w:val="31"/>
  </w:num>
  <w:num w:numId="31">
    <w:abstractNumId w:val="24"/>
  </w:num>
  <w:num w:numId="32">
    <w:abstractNumId w:val="39"/>
  </w:num>
  <w:num w:numId="33">
    <w:abstractNumId w:val="0"/>
  </w:num>
  <w:num w:numId="34">
    <w:abstractNumId w:val="19"/>
  </w:num>
  <w:num w:numId="35">
    <w:abstractNumId w:val="29"/>
  </w:num>
  <w:num w:numId="36">
    <w:abstractNumId w:val="33"/>
  </w:num>
  <w:num w:numId="37">
    <w:abstractNumId w:val="20"/>
  </w:num>
  <w:num w:numId="38">
    <w:abstractNumId w:val="25"/>
  </w:num>
  <w:num w:numId="39">
    <w:abstractNumId w:val="1"/>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5"/>
  </w:num>
  <w:num w:numId="44">
    <w:abstractNumId w:val="35"/>
  </w:num>
  <w:num w:numId="45">
    <w:abstractNumId w:val="11"/>
  </w:num>
  <w:num w:numId="46">
    <w:abstractNumId w:val="36"/>
  </w:num>
  <w:num w:numId="47">
    <w:abstractNumId w:val="9"/>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AF"/>
    <w:rsid w:val="000006D0"/>
    <w:rsid w:val="00004A0F"/>
    <w:rsid w:val="00005F56"/>
    <w:rsid w:val="0000720A"/>
    <w:rsid w:val="00007F4A"/>
    <w:rsid w:val="00011AE8"/>
    <w:rsid w:val="00015F91"/>
    <w:rsid w:val="00022B8E"/>
    <w:rsid w:val="000234F5"/>
    <w:rsid w:val="000244C4"/>
    <w:rsid w:val="00027B9E"/>
    <w:rsid w:val="00027E84"/>
    <w:rsid w:val="00031A4C"/>
    <w:rsid w:val="0003469F"/>
    <w:rsid w:val="00040A2B"/>
    <w:rsid w:val="00041908"/>
    <w:rsid w:val="000438C8"/>
    <w:rsid w:val="00043BB4"/>
    <w:rsid w:val="00046176"/>
    <w:rsid w:val="00046F66"/>
    <w:rsid w:val="000470EA"/>
    <w:rsid w:val="00052565"/>
    <w:rsid w:val="00054E40"/>
    <w:rsid w:val="000566CF"/>
    <w:rsid w:val="0005671D"/>
    <w:rsid w:val="00062F45"/>
    <w:rsid w:val="00063445"/>
    <w:rsid w:val="00065432"/>
    <w:rsid w:val="00065871"/>
    <w:rsid w:val="000668FE"/>
    <w:rsid w:val="000673D1"/>
    <w:rsid w:val="00067BDD"/>
    <w:rsid w:val="00071D10"/>
    <w:rsid w:val="00073DA7"/>
    <w:rsid w:val="000763AF"/>
    <w:rsid w:val="0007675B"/>
    <w:rsid w:val="00076AA8"/>
    <w:rsid w:val="00080BBF"/>
    <w:rsid w:val="000874EC"/>
    <w:rsid w:val="00091352"/>
    <w:rsid w:val="0009247E"/>
    <w:rsid w:val="000942C3"/>
    <w:rsid w:val="00095A9F"/>
    <w:rsid w:val="000A0F4C"/>
    <w:rsid w:val="000A195E"/>
    <w:rsid w:val="000A1DC5"/>
    <w:rsid w:val="000A379B"/>
    <w:rsid w:val="000A5A59"/>
    <w:rsid w:val="000A7617"/>
    <w:rsid w:val="000B1635"/>
    <w:rsid w:val="000B5CE4"/>
    <w:rsid w:val="000C5C10"/>
    <w:rsid w:val="000C6B74"/>
    <w:rsid w:val="000C738A"/>
    <w:rsid w:val="000C7B63"/>
    <w:rsid w:val="000D2E30"/>
    <w:rsid w:val="000D3E21"/>
    <w:rsid w:val="000D55FF"/>
    <w:rsid w:val="000D67BB"/>
    <w:rsid w:val="000D6E7F"/>
    <w:rsid w:val="000D77FD"/>
    <w:rsid w:val="000D7FED"/>
    <w:rsid w:val="000E1107"/>
    <w:rsid w:val="000E32A1"/>
    <w:rsid w:val="000E4702"/>
    <w:rsid w:val="000E7069"/>
    <w:rsid w:val="000F0DF3"/>
    <w:rsid w:val="000F2759"/>
    <w:rsid w:val="000F4197"/>
    <w:rsid w:val="000F5FC4"/>
    <w:rsid w:val="00103496"/>
    <w:rsid w:val="00103EF1"/>
    <w:rsid w:val="00107781"/>
    <w:rsid w:val="001172A8"/>
    <w:rsid w:val="00121E2F"/>
    <w:rsid w:val="00124863"/>
    <w:rsid w:val="001267D4"/>
    <w:rsid w:val="00127003"/>
    <w:rsid w:val="001275C7"/>
    <w:rsid w:val="00131179"/>
    <w:rsid w:val="0013493A"/>
    <w:rsid w:val="0014083C"/>
    <w:rsid w:val="00141D64"/>
    <w:rsid w:val="001521BF"/>
    <w:rsid w:val="001547AC"/>
    <w:rsid w:val="0015750E"/>
    <w:rsid w:val="00160FCB"/>
    <w:rsid w:val="00164D43"/>
    <w:rsid w:val="001653EF"/>
    <w:rsid w:val="00166B16"/>
    <w:rsid w:val="001678A9"/>
    <w:rsid w:val="00167AD3"/>
    <w:rsid w:val="0017092A"/>
    <w:rsid w:val="00171446"/>
    <w:rsid w:val="00174502"/>
    <w:rsid w:val="001747DA"/>
    <w:rsid w:val="001748EE"/>
    <w:rsid w:val="00174E37"/>
    <w:rsid w:val="0018029C"/>
    <w:rsid w:val="0018161F"/>
    <w:rsid w:val="00182B1D"/>
    <w:rsid w:val="001839CE"/>
    <w:rsid w:val="00186E54"/>
    <w:rsid w:val="0018796A"/>
    <w:rsid w:val="00191D89"/>
    <w:rsid w:val="00193426"/>
    <w:rsid w:val="00196091"/>
    <w:rsid w:val="001A0493"/>
    <w:rsid w:val="001A0F54"/>
    <w:rsid w:val="001A1D9D"/>
    <w:rsid w:val="001A2A36"/>
    <w:rsid w:val="001A2EA1"/>
    <w:rsid w:val="001A5A95"/>
    <w:rsid w:val="001A7B3B"/>
    <w:rsid w:val="001C4A34"/>
    <w:rsid w:val="001C55E2"/>
    <w:rsid w:val="001D0035"/>
    <w:rsid w:val="001D2D63"/>
    <w:rsid w:val="001D3CDC"/>
    <w:rsid w:val="001D4ACB"/>
    <w:rsid w:val="001D56CA"/>
    <w:rsid w:val="001D5EA4"/>
    <w:rsid w:val="001E3DF4"/>
    <w:rsid w:val="001E521E"/>
    <w:rsid w:val="001E7034"/>
    <w:rsid w:val="001E7E72"/>
    <w:rsid w:val="001F0CB8"/>
    <w:rsid w:val="001F12DC"/>
    <w:rsid w:val="001F1B89"/>
    <w:rsid w:val="001F49E9"/>
    <w:rsid w:val="001F511D"/>
    <w:rsid w:val="001F5CF7"/>
    <w:rsid w:val="001F7760"/>
    <w:rsid w:val="00201DB9"/>
    <w:rsid w:val="00202EF4"/>
    <w:rsid w:val="00206ACA"/>
    <w:rsid w:val="00207054"/>
    <w:rsid w:val="00212F77"/>
    <w:rsid w:val="00214B74"/>
    <w:rsid w:val="0022077D"/>
    <w:rsid w:val="002214DD"/>
    <w:rsid w:val="00221CFD"/>
    <w:rsid w:val="00222FE8"/>
    <w:rsid w:val="002234BA"/>
    <w:rsid w:val="002264A9"/>
    <w:rsid w:val="00231C18"/>
    <w:rsid w:val="00233E5F"/>
    <w:rsid w:val="00236585"/>
    <w:rsid w:val="00241A34"/>
    <w:rsid w:val="00242FAD"/>
    <w:rsid w:val="00244309"/>
    <w:rsid w:val="002476E1"/>
    <w:rsid w:val="00251415"/>
    <w:rsid w:val="002547D9"/>
    <w:rsid w:val="00256456"/>
    <w:rsid w:val="00256BE2"/>
    <w:rsid w:val="002578CA"/>
    <w:rsid w:val="00257CFE"/>
    <w:rsid w:val="00262258"/>
    <w:rsid w:val="00262731"/>
    <w:rsid w:val="00263FD9"/>
    <w:rsid w:val="00264013"/>
    <w:rsid w:val="002723BA"/>
    <w:rsid w:val="00272AA3"/>
    <w:rsid w:val="002748F3"/>
    <w:rsid w:val="0027691E"/>
    <w:rsid w:val="002771FB"/>
    <w:rsid w:val="00281D5D"/>
    <w:rsid w:val="002823DD"/>
    <w:rsid w:val="0028462B"/>
    <w:rsid w:val="00285DC3"/>
    <w:rsid w:val="002861FD"/>
    <w:rsid w:val="00291DCC"/>
    <w:rsid w:val="002A0B35"/>
    <w:rsid w:val="002A2FA7"/>
    <w:rsid w:val="002A4406"/>
    <w:rsid w:val="002A527C"/>
    <w:rsid w:val="002A6707"/>
    <w:rsid w:val="002A6AEE"/>
    <w:rsid w:val="002A7499"/>
    <w:rsid w:val="002B0F9A"/>
    <w:rsid w:val="002B101D"/>
    <w:rsid w:val="002B46C4"/>
    <w:rsid w:val="002C004F"/>
    <w:rsid w:val="002C682D"/>
    <w:rsid w:val="002C7C45"/>
    <w:rsid w:val="002D1482"/>
    <w:rsid w:val="002D1AD7"/>
    <w:rsid w:val="002D3399"/>
    <w:rsid w:val="002D72B0"/>
    <w:rsid w:val="002E1C54"/>
    <w:rsid w:val="002E1E29"/>
    <w:rsid w:val="002E3560"/>
    <w:rsid w:val="002E7053"/>
    <w:rsid w:val="002F2F55"/>
    <w:rsid w:val="002F4A48"/>
    <w:rsid w:val="002F7483"/>
    <w:rsid w:val="002F77F9"/>
    <w:rsid w:val="00316A73"/>
    <w:rsid w:val="003205BE"/>
    <w:rsid w:val="00321997"/>
    <w:rsid w:val="00321D5E"/>
    <w:rsid w:val="00322B66"/>
    <w:rsid w:val="00322C5B"/>
    <w:rsid w:val="003246C2"/>
    <w:rsid w:val="00330307"/>
    <w:rsid w:val="003313C2"/>
    <w:rsid w:val="003333BC"/>
    <w:rsid w:val="00333660"/>
    <w:rsid w:val="00334A63"/>
    <w:rsid w:val="00347E8C"/>
    <w:rsid w:val="00350C09"/>
    <w:rsid w:val="00351DAF"/>
    <w:rsid w:val="00354DA7"/>
    <w:rsid w:val="0035525F"/>
    <w:rsid w:val="003564EF"/>
    <w:rsid w:val="00357DC4"/>
    <w:rsid w:val="00371CCC"/>
    <w:rsid w:val="00376D31"/>
    <w:rsid w:val="0038087E"/>
    <w:rsid w:val="00380C4D"/>
    <w:rsid w:val="00384066"/>
    <w:rsid w:val="0038672D"/>
    <w:rsid w:val="003910F2"/>
    <w:rsid w:val="00395774"/>
    <w:rsid w:val="00396D9E"/>
    <w:rsid w:val="003A0DAE"/>
    <w:rsid w:val="003A3C3D"/>
    <w:rsid w:val="003A5C98"/>
    <w:rsid w:val="003A73A5"/>
    <w:rsid w:val="003B2853"/>
    <w:rsid w:val="003B53E7"/>
    <w:rsid w:val="003C1D8A"/>
    <w:rsid w:val="003C352A"/>
    <w:rsid w:val="003C6690"/>
    <w:rsid w:val="003C68AD"/>
    <w:rsid w:val="003C71E7"/>
    <w:rsid w:val="003D0541"/>
    <w:rsid w:val="003D3F6A"/>
    <w:rsid w:val="003D44F2"/>
    <w:rsid w:val="003D5A08"/>
    <w:rsid w:val="003D63DC"/>
    <w:rsid w:val="003E0658"/>
    <w:rsid w:val="003E58A4"/>
    <w:rsid w:val="003E5CBB"/>
    <w:rsid w:val="003F0B3F"/>
    <w:rsid w:val="003F73D6"/>
    <w:rsid w:val="004011E1"/>
    <w:rsid w:val="00403DF1"/>
    <w:rsid w:val="004107AC"/>
    <w:rsid w:val="00414C09"/>
    <w:rsid w:val="00417071"/>
    <w:rsid w:val="004218C1"/>
    <w:rsid w:val="00426CC8"/>
    <w:rsid w:val="004317A7"/>
    <w:rsid w:val="00431804"/>
    <w:rsid w:val="0043603E"/>
    <w:rsid w:val="00437EED"/>
    <w:rsid w:val="00440283"/>
    <w:rsid w:val="00440A30"/>
    <w:rsid w:val="00442ABD"/>
    <w:rsid w:val="00444447"/>
    <w:rsid w:val="00445C04"/>
    <w:rsid w:val="004510CE"/>
    <w:rsid w:val="00451C29"/>
    <w:rsid w:val="00452860"/>
    <w:rsid w:val="004542AC"/>
    <w:rsid w:val="004601B5"/>
    <w:rsid w:val="0046143C"/>
    <w:rsid w:val="00461718"/>
    <w:rsid w:val="00465464"/>
    <w:rsid w:val="004703D8"/>
    <w:rsid w:val="004713AA"/>
    <w:rsid w:val="00471404"/>
    <w:rsid w:val="004809C8"/>
    <w:rsid w:val="0048149D"/>
    <w:rsid w:val="00481BD6"/>
    <w:rsid w:val="00481ED2"/>
    <w:rsid w:val="00485CF2"/>
    <w:rsid w:val="004867D8"/>
    <w:rsid w:val="004873F6"/>
    <w:rsid w:val="0048761A"/>
    <w:rsid w:val="00491C46"/>
    <w:rsid w:val="00495AAE"/>
    <w:rsid w:val="0049668F"/>
    <w:rsid w:val="00497BAA"/>
    <w:rsid w:val="004A2061"/>
    <w:rsid w:val="004A38D3"/>
    <w:rsid w:val="004A3DE9"/>
    <w:rsid w:val="004A613A"/>
    <w:rsid w:val="004B2561"/>
    <w:rsid w:val="004B25D1"/>
    <w:rsid w:val="004B29C7"/>
    <w:rsid w:val="004B40F4"/>
    <w:rsid w:val="004B4369"/>
    <w:rsid w:val="004C337D"/>
    <w:rsid w:val="004C33ED"/>
    <w:rsid w:val="004C4C57"/>
    <w:rsid w:val="004C64CA"/>
    <w:rsid w:val="004D1C81"/>
    <w:rsid w:val="004D1D02"/>
    <w:rsid w:val="004D1E9C"/>
    <w:rsid w:val="004D262B"/>
    <w:rsid w:val="004D3D9F"/>
    <w:rsid w:val="004D71DB"/>
    <w:rsid w:val="004E0292"/>
    <w:rsid w:val="004E1B48"/>
    <w:rsid w:val="004E2A36"/>
    <w:rsid w:val="004E698A"/>
    <w:rsid w:val="004E7921"/>
    <w:rsid w:val="004F1196"/>
    <w:rsid w:val="004F1F8F"/>
    <w:rsid w:val="004F3E77"/>
    <w:rsid w:val="004F3FD5"/>
    <w:rsid w:val="005041DE"/>
    <w:rsid w:val="00504B28"/>
    <w:rsid w:val="00507460"/>
    <w:rsid w:val="00507E41"/>
    <w:rsid w:val="00511560"/>
    <w:rsid w:val="00513838"/>
    <w:rsid w:val="00514A32"/>
    <w:rsid w:val="00516EAB"/>
    <w:rsid w:val="00517B7D"/>
    <w:rsid w:val="00524ADC"/>
    <w:rsid w:val="00524CD7"/>
    <w:rsid w:val="00530130"/>
    <w:rsid w:val="00531B37"/>
    <w:rsid w:val="005324D0"/>
    <w:rsid w:val="00534D1A"/>
    <w:rsid w:val="005363A1"/>
    <w:rsid w:val="00537AEC"/>
    <w:rsid w:val="005437D4"/>
    <w:rsid w:val="00543BDE"/>
    <w:rsid w:val="0054446C"/>
    <w:rsid w:val="00544B2F"/>
    <w:rsid w:val="00545E21"/>
    <w:rsid w:val="005512AB"/>
    <w:rsid w:val="005515D3"/>
    <w:rsid w:val="00551F7F"/>
    <w:rsid w:val="0055211D"/>
    <w:rsid w:val="00552CDE"/>
    <w:rsid w:val="00554209"/>
    <w:rsid w:val="00554834"/>
    <w:rsid w:val="005549FF"/>
    <w:rsid w:val="00555EC6"/>
    <w:rsid w:val="00556661"/>
    <w:rsid w:val="00557F35"/>
    <w:rsid w:val="00561475"/>
    <w:rsid w:val="00561A71"/>
    <w:rsid w:val="0056258D"/>
    <w:rsid w:val="00563D74"/>
    <w:rsid w:val="00571478"/>
    <w:rsid w:val="00571C24"/>
    <w:rsid w:val="00582EF7"/>
    <w:rsid w:val="00591A9D"/>
    <w:rsid w:val="0059306C"/>
    <w:rsid w:val="0059308B"/>
    <w:rsid w:val="005A3AF4"/>
    <w:rsid w:val="005A4C7E"/>
    <w:rsid w:val="005B5228"/>
    <w:rsid w:val="005B62C9"/>
    <w:rsid w:val="005C0E83"/>
    <w:rsid w:val="005C5F44"/>
    <w:rsid w:val="005C6877"/>
    <w:rsid w:val="005C6BAE"/>
    <w:rsid w:val="005C714E"/>
    <w:rsid w:val="005C7D71"/>
    <w:rsid w:val="005D09DD"/>
    <w:rsid w:val="005D1DE4"/>
    <w:rsid w:val="005D2A15"/>
    <w:rsid w:val="005D4CEA"/>
    <w:rsid w:val="005D5D3A"/>
    <w:rsid w:val="005D7637"/>
    <w:rsid w:val="005D7666"/>
    <w:rsid w:val="005E1962"/>
    <w:rsid w:val="005E3C35"/>
    <w:rsid w:val="005E3D9E"/>
    <w:rsid w:val="005E421F"/>
    <w:rsid w:val="005E490A"/>
    <w:rsid w:val="005E4FAC"/>
    <w:rsid w:val="005F72CA"/>
    <w:rsid w:val="005F7839"/>
    <w:rsid w:val="006005FE"/>
    <w:rsid w:val="006007FA"/>
    <w:rsid w:val="00603C3E"/>
    <w:rsid w:val="006045C4"/>
    <w:rsid w:val="00606480"/>
    <w:rsid w:val="006070DB"/>
    <w:rsid w:val="0060798E"/>
    <w:rsid w:val="00610955"/>
    <w:rsid w:val="00610F88"/>
    <w:rsid w:val="00611303"/>
    <w:rsid w:val="006128A2"/>
    <w:rsid w:val="006154DE"/>
    <w:rsid w:val="00616434"/>
    <w:rsid w:val="00623CBF"/>
    <w:rsid w:val="00626B79"/>
    <w:rsid w:val="00632DE8"/>
    <w:rsid w:val="006335D9"/>
    <w:rsid w:val="0063747B"/>
    <w:rsid w:val="00641B18"/>
    <w:rsid w:val="006426AF"/>
    <w:rsid w:val="0064293D"/>
    <w:rsid w:val="006433DB"/>
    <w:rsid w:val="00643D04"/>
    <w:rsid w:val="00645C2A"/>
    <w:rsid w:val="00646C47"/>
    <w:rsid w:val="00647AE1"/>
    <w:rsid w:val="00652173"/>
    <w:rsid w:val="00652F4C"/>
    <w:rsid w:val="00653684"/>
    <w:rsid w:val="006536CD"/>
    <w:rsid w:val="00662343"/>
    <w:rsid w:val="00662E7D"/>
    <w:rsid w:val="006648C8"/>
    <w:rsid w:val="00666307"/>
    <w:rsid w:val="00670484"/>
    <w:rsid w:val="00670488"/>
    <w:rsid w:val="00670FAF"/>
    <w:rsid w:val="00672705"/>
    <w:rsid w:val="0067497C"/>
    <w:rsid w:val="0067527E"/>
    <w:rsid w:val="00675B96"/>
    <w:rsid w:val="00676414"/>
    <w:rsid w:val="006829C0"/>
    <w:rsid w:val="0068779F"/>
    <w:rsid w:val="00693611"/>
    <w:rsid w:val="00697C86"/>
    <w:rsid w:val="00697F9D"/>
    <w:rsid w:val="006A1CD9"/>
    <w:rsid w:val="006A3660"/>
    <w:rsid w:val="006A56D7"/>
    <w:rsid w:val="006B3C08"/>
    <w:rsid w:val="006B5D1A"/>
    <w:rsid w:val="006B6867"/>
    <w:rsid w:val="006C3A74"/>
    <w:rsid w:val="006C41C7"/>
    <w:rsid w:val="006C5A60"/>
    <w:rsid w:val="006C61A7"/>
    <w:rsid w:val="006D39A1"/>
    <w:rsid w:val="006D3EF4"/>
    <w:rsid w:val="006D53E1"/>
    <w:rsid w:val="006D7F0D"/>
    <w:rsid w:val="006E2910"/>
    <w:rsid w:val="006E3DC7"/>
    <w:rsid w:val="006E4842"/>
    <w:rsid w:val="006E614D"/>
    <w:rsid w:val="006F3A8B"/>
    <w:rsid w:val="006F612E"/>
    <w:rsid w:val="00700E87"/>
    <w:rsid w:val="00701104"/>
    <w:rsid w:val="0070215E"/>
    <w:rsid w:val="00702718"/>
    <w:rsid w:val="00710DC7"/>
    <w:rsid w:val="00716EFC"/>
    <w:rsid w:val="00720965"/>
    <w:rsid w:val="00722F81"/>
    <w:rsid w:val="007237A7"/>
    <w:rsid w:val="00726AE1"/>
    <w:rsid w:val="007278F1"/>
    <w:rsid w:val="00731432"/>
    <w:rsid w:val="00731839"/>
    <w:rsid w:val="0073255D"/>
    <w:rsid w:val="0073291C"/>
    <w:rsid w:val="00735A85"/>
    <w:rsid w:val="0074008C"/>
    <w:rsid w:val="00741729"/>
    <w:rsid w:val="00741AE4"/>
    <w:rsid w:val="00741D7F"/>
    <w:rsid w:val="00744E12"/>
    <w:rsid w:val="00745D01"/>
    <w:rsid w:val="00752A61"/>
    <w:rsid w:val="00752F94"/>
    <w:rsid w:val="00753C21"/>
    <w:rsid w:val="007541A2"/>
    <w:rsid w:val="00756C61"/>
    <w:rsid w:val="00757894"/>
    <w:rsid w:val="007611D7"/>
    <w:rsid w:val="00766039"/>
    <w:rsid w:val="00766FB5"/>
    <w:rsid w:val="00767BE1"/>
    <w:rsid w:val="00770877"/>
    <w:rsid w:val="00773420"/>
    <w:rsid w:val="0077474D"/>
    <w:rsid w:val="007778C4"/>
    <w:rsid w:val="007801DF"/>
    <w:rsid w:val="007813CE"/>
    <w:rsid w:val="00782499"/>
    <w:rsid w:val="00785DD9"/>
    <w:rsid w:val="00792D8B"/>
    <w:rsid w:val="00793A97"/>
    <w:rsid w:val="00793FBA"/>
    <w:rsid w:val="0079400B"/>
    <w:rsid w:val="00796576"/>
    <w:rsid w:val="007A1506"/>
    <w:rsid w:val="007A3357"/>
    <w:rsid w:val="007A674B"/>
    <w:rsid w:val="007B247E"/>
    <w:rsid w:val="007B7B69"/>
    <w:rsid w:val="007C14A8"/>
    <w:rsid w:val="007C2BD8"/>
    <w:rsid w:val="007C3D35"/>
    <w:rsid w:val="007D3A96"/>
    <w:rsid w:val="007D6A25"/>
    <w:rsid w:val="007D7C39"/>
    <w:rsid w:val="007E3A4F"/>
    <w:rsid w:val="007E46DE"/>
    <w:rsid w:val="007F05D0"/>
    <w:rsid w:val="007F1DF2"/>
    <w:rsid w:val="007F29C2"/>
    <w:rsid w:val="007F46B3"/>
    <w:rsid w:val="007F688B"/>
    <w:rsid w:val="00805D02"/>
    <w:rsid w:val="008062EB"/>
    <w:rsid w:val="00806F42"/>
    <w:rsid w:val="00815218"/>
    <w:rsid w:val="00816824"/>
    <w:rsid w:val="008238C0"/>
    <w:rsid w:val="008241E2"/>
    <w:rsid w:val="00824B64"/>
    <w:rsid w:val="00826691"/>
    <w:rsid w:val="008277D1"/>
    <w:rsid w:val="00830063"/>
    <w:rsid w:val="008311FC"/>
    <w:rsid w:val="008336FF"/>
    <w:rsid w:val="0083425A"/>
    <w:rsid w:val="008348E6"/>
    <w:rsid w:val="00836AF8"/>
    <w:rsid w:val="008401F2"/>
    <w:rsid w:val="00841AFC"/>
    <w:rsid w:val="00854CDD"/>
    <w:rsid w:val="00855A2C"/>
    <w:rsid w:val="00856880"/>
    <w:rsid w:val="00860C17"/>
    <w:rsid w:val="00865EC8"/>
    <w:rsid w:val="00866391"/>
    <w:rsid w:val="00866F89"/>
    <w:rsid w:val="00870F38"/>
    <w:rsid w:val="008733E0"/>
    <w:rsid w:val="00874021"/>
    <w:rsid w:val="008760E4"/>
    <w:rsid w:val="00876E61"/>
    <w:rsid w:val="008812B0"/>
    <w:rsid w:val="008815A4"/>
    <w:rsid w:val="008829C8"/>
    <w:rsid w:val="00882E42"/>
    <w:rsid w:val="00884698"/>
    <w:rsid w:val="00886937"/>
    <w:rsid w:val="00887802"/>
    <w:rsid w:val="00892CE9"/>
    <w:rsid w:val="008A1D34"/>
    <w:rsid w:val="008A1E07"/>
    <w:rsid w:val="008A4127"/>
    <w:rsid w:val="008A449D"/>
    <w:rsid w:val="008A7B8E"/>
    <w:rsid w:val="008B18A4"/>
    <w:rsid w:val="008B2053"/>
    <w:rsid w:val="008B3A44"/>
    <w:rsid w:val="008B4E82"/>
    <w:rsid w:val="008B51D1"/>
    <w:rsid w:val="008B5BD9"/>
    <w:rsid w:val="008C1343"/>
    <w:rsid w:val="008C1F8E"/>
    <w:rsid w:val="008C3E58"/>
    <w:rsid w:val="008C41E2"/>
    <w:rsid w:val="008C7BE3"/>
    <w:rsid w:val="008D099C"/>
    <w:rsid w:val="008D1176"/>
    <w:rsid w:val="008D1177"/>
    <w:rsid w:val="008D2CE0"/>
    <w:rsid w:val="008D33B8"/>
    <w:rsid w:val="008D3AE0"/>
    <w:rsid w:val="008D3E91"/>
    <w:rsid w:val="008E0DCD"/>
    <w:rsid w:val="008E1D99"/>
    <w:rsid w:val="008E3DFE"/>
    <w:rsid w:val="008E646E"/>
    <w:rsid w:val="008E7B7C"/>
    <w:rsid w:val="008F0E24"/>
    <w:rsid w:val="008F6A03"/>
    <w:rsid w:val="0090050B"/>
    <w:rsid w:val="00901A5D"/>
    <w:rsid w:val="009029E0"/>
    <w:rsid w:val="009031A1"/>
    <w:rsid w:val="00903A7E"/>
    <w:rsid w:val="00913077"/>
    <w:rsid w:val="009138A7"/>
    <w:rsid w:val="009149D0"/>
    <w:rsid w:val="00916B48"/>
    <w:rsid w:val="00916F3A"/>
    <w:rsid w:val="009173DD"/>
    <w:rsid w:val="00922216"/>
    <w:rsid w:val="009252DD"/>
    <w:rsid w:val="00925DAC"/>
    <w:rsid w:val="00930D9D"/>
    <w:rsid w:val="00933290"/>
    <w:rsid w:val="00934773"/>
    <w:rsid w:val="00936D9D"/>
    <w:rsid w:val="00941112"/>
    <w:rsid w:val="0095250F"/>
    <w:rsid w:val="00955C60"/>
    <w:rsid w:val="009577CC"/>
    <w:rsid w:val="00963013"/>
    <w:rsid w:val="009652BA"/>
    <w:rsid w:val="00965CA5"/>
    <w:rsid w:val="00966DB4"/>
    <w:rsid w:val="009729DD"/>
    <w:rsid w:val="00973189"/>
    <w:rsid w:val="009731D3"/>
    <w:rsid w:val="00974848"/>
    <w:rsid w:val="00975A9E"/>
    <w:rsid w:val="00983C0A"/>
    <w:rsid w:val="00991060"/>
    <w:rsid w:val="009916CD"/>
    <w:rsid w:val="00991EC7"/>
    <w:rsid w:val="00997656"/>
    <w:rsid w:val="009A0305"/>
    <w:rsid w:val="009A0CAB"/>
    <w:rsid w:val="009A21C4"/>
    <w:rsid w:val="009A451F"/>
    <w:rsid w:val="009A6981"/>
    <w:rsid w:val="009B0DE0"/>
    <w:rsid w:val="009B657C"/>
    <w:rsid w:val="009B6EC4"/>
    <w:rsid w:val="009B7718"/>
    <w:rsid w:val="009C0B67"/>
    <w:rsid w:val="009D0196"/>
    <w:rsid w:val="009D39CD"/>
    <w:rsid w:val="009D4D69"/>
    <w:rsid w:val="009D679B"/>
    <w:rsid w:val="009E06D9"/>
    <w:rsid w:val="009E288B"/>
    <w:rsid w:val="009E29A9"/>
    <w:rsid w:val="009E7CAC"/>
    <w:rsid w:val="009F0504"/>
    <w:rsid w:val="009F3A1B"/>
    <w:rsid w:val="009F3A93"/>
    <w:rsid w:val="009F42DD"/>
    <w:rsid w:val="009F6EB9"/>
    <w:rsid w:val="00A00F53"/>
    <w:rsid w:val="00A0349A"/>
    <w:rsid w:val="00A13515"/>
    <w:rsid w:val="00A137BD"/>
    <w:rsid w:val="00A15B0B"/>
    <w:rsid w:val="00A16F31"/>
    <w:rsid w:val="00A21D17"/>
    <w:rsid w:val="00A2408D"/>
    <w:rsid w:val="00A26E5E"/>
    <w:rsid w:val="00A322D3"/>
    <w:rsid w:val="00A32A28"/>
    <w:rsid w:val="00A342DB"/>
    <w:rsid w:val="00A3712F"/>
    <w:rsid w:val="00A40B28"/>
    <w:rsid w:val="00A41953"/>
    <w:rsid w:val="00A44AC6"/>
    <w:rsid w:val="00A46206"/>
    <w:rsid w:val="00A501A0"/>
    <w:rsid w:val="00A53C34"/>
    <w:rsid w:val="00A540BA"/>
    <w:rsid w:val="00A54F12"/>
    <w:rsid w:val="00A608E7"/>
    <w:rsid w:val="00A617B4"/>
    <w:rsid w:val="00A63655"/>
    <w:rsid w:val="00A67804"/>
    <w:rsid w:val="00A72588"/>
    <w:rsid w:val="00A769E1"/>
    <w:rsid w:val="00A778B8"/>
    <w:rsid w:val="00A80465"/>
    <w:rsid w:val="00A851F0"/>
    <w:rsid w:val="00A8652D"/>
    <w:rsid w:val="00A86888"/>
    <w:rsid w:val="00A87A3F"/>
    <w:rsid w:val="00A928C5"/>
    <w:rsid w:val="00AA1089"/>
    <w:rsid w:val="00AA1E8A"/>
    <w:rsid w:val="00AA7DD5"/>
    <w:rsid w:val="00AB0E8B"/>
    <w:rsid w:val="00AB3AC1"/>
    <w:rsid w:val="00AB430F"/>
    <w:rsid w:val="00AB6B2F"/>
    <w:rsid w:val="00AB6D09"/>
    <w:rsid w:val="00AB7E21"/>
    <w:rsid w:val="00AC1D93"/>
    <w:rsid w:val="00AC2D13"/>
    <w:rsid w:val="00AC583F"/>
    <w:rsid w:val="00AC61D7"/>
    <w:rsid w:val="00AC6E38"/>
    <w:rsid w:val="00AD02EC"/>
    <w:rsid w:val="00AD1C04"/>
    <w:rsid w:val="00AD271B"/>
    <w:rsid w:val="00AD34CE"/>
    <w:rsid w:val="00AD389B"/>
    <w:rsid w:val="00AE2BC9"/>
    <w:rsid w:val="00AE75C5"/>
    <w:rsid w:val="00AE785A"/>
    <w:rsid w:val="00AF4899"/>
    <w:rsid w:val="00AF533B"/>
    <w:rsid w:val="00AF631A"/>
    <w:rsid w:val="00AF6F09"/>
    <w:rsid w:val="00B021D9"/>
    <w:rsid w:val="00B03321"/>
    <w:rsid w:val="00B041C1"/>
    <w:rsid w:val="00B0645B"/>
    <w:rsid w:val="00B119A9"/>
    <w:rsid w:val="00B141ED"/>
    <w:rsid w:val="00B14AB4"/>
    <w:rsid w:val="00B15F2B"/>
    <w:rsid w:val="00B16496"/>
    <w:rsid w:val="00B166B1"/>
    <w:rsid w:val="00B166C7"/>
    <w:rsid w:val="00B2173A"/>
    <w:rsid w:val="00B25724"/>
    <w:rsid w:val="00B25BA3"/>
    <w:rsid w:val="00B27DC9"/>
    <w:rsid w:val="00B32975"/>
    <w:rsid w:val="00B3584E"/>
    <w:rsid w:val="00B37EC5"/>
    <w:rsid w:val="00B4377E"/>
    <w:rsid w:val="00B44C4E"/>
    <w:rsid w:val="00B44D6E"/>
    <w:rsid w:val="00B44EC6"/>
    <w:rsid w:val="00B4594B"/>
    <w:rsid w:val="00B46A5F"/>
    <w:rsid w:val="00B51EED"/>
    <w:rsid w:val="00B52557"/>
    <w:rsid w:val="00B535D2"/>
    <w:rsid w:val="00B55C6B"/>
    <w:rsid w:val="00B56B1D"/>
    <w:rsid w:val="00B61DB4"/>
    <w:rsid w:val="00B65DA4"/>
    <w:rsid w:val="00B67A3F"/>
    <w:rsid w:val="00B7047A"/>
    <w:rsid w:val="00B70561"/>
    <w:rsid w:val="00B70956"/>
    <w:rsid w:val="00B7175E"/>
    <w:rsid w:val="00B72FBD"/>
    <w:rsid w:val="00B74270"/>
    <w:rsid w:val="00B76509"/>
    <w:rsid w:val="00B80B61"/>
    <w:rsid w:val="00B80B72"/>
    <w:rsid w:val="00B826BB"/>
    <w:rsid w:val="00B83CF7"/>
    <w:rsid w:val="00B84488"/>
    <w:rsid w:val="00B863FE"/>
    <w:rsid w:val="00B86A79"/>
    <w:rsid w:val="00B9071F"/>
    <w:rsid w:val="00B90BDA"/>
    <w:rsid w:val="00B930AB"/>
    <w:rsid w:val="00B9491D"/>
    <w:rsid w:val="00B95015"/>
    <w:rsid w:val="00B97744"/>
    <w:rsid w:val="00BA0858"/>
    <w:rsid w:val="00BA0F73"/>
    <w:rsid w:val="00BA20F1"/>
    <w:rsid w:val="00BA2C26"/>
    <w:rsid w:val="00BB0D45"/>
    <w:rsid w:val="00BB27BD"/>
    <w:rsid w:val="00BB2896"/>
    <w:rsid w:val="00BB317B"/>
    <w:rsid w:val="00BC0EC2"/>
    <w:rsid w:val="00BC106A"/>
    <w:rsid w:val="00BC3C5B"/>
    <w:rsid w:val="00BC3D6E"/>
    <w:rsid w:val="00BC453B"/>
    <w:rsid w:val="00BC6AE4"/>
    <w:rsid w:val="00BD0846"/>
    <w:rsid w:val="00BD12E3"/>
    <w:rsid w:val="00BD4589"/>
    <w:rsid w:val="00BD4FC9"/>
    <w:rsid w:val="00BD50F5"/>
    <w:rsid w:val="00BD52DD"/>
    <w:rsid w:val="00BE11A2"/>
    <w:rsid w:val="00BE3B4E"/>
    <w:rsid w:val="00BE4F40"/>
    <w:rsid w:val="00BE59DA"/>
    <w:rsid w:val="00BE6641"/>
    <w:rsid w:val="00BF2548"/>
    <w:rsid w:val="00BF5F42"/>
    <w:rsid w:val="00BF6346"/>
    <w:rsid w:val="00BF63AB"/>
    <w:rsid w:val="00BF64E2"/>
    <w:rsid w:val="00BF6C18"/>
    <w:rsid w:val="00BF7D4F"/>
    <w:rsid w:val="00C041B2"/>
    <w:rsid w:val="00C04A1E"/>
    <w:rsid w:val="00C06316"/>
    <w:rsid w:val="00C07C70"/>
    <w:rsid w:val="00C07E8D"/>
    <w:rsid w:val="00C155BB"/>
    <w:rsid w:val="00C158CD"/>
    <w:rsid w:val="00C15CE9"/>
    <w:rsid w:val="00C16BEB"/>
    <w:rsid w:val="00C20ADF"/>
    <w:rsid w:val="00C234FB"/>
    <w:rsid w:val="00C23DDF"/>
    <w:rsid w:val="00C25F24"/>
    <w:rsid w:val="00C268DE"/>
    <w:rsid w:val="00C311EE"/>
    <w:rsid w:val="00C3278C"/>
    <w:rsid w:val="00C337FA"/>
    <w:rsid w:val="00C34842"/>
    <w:rsid w:val="00C35831"/>
    <w:rsid w:val="00C40680"/>
    <w:rsid w:val="00C416D0"/>
    <w:rsid w:val="00C43D11"/>
    <w:rsid w:val="00C45601"/>
    <w:rsid w:val="00C456E5"/>
    <w:rsid w:val="00C50E25"/>
    <w:rsid w:val="00C523ED"/>
    <w:rsid w:val="00C555EA"/>
    <w:rsid w:val="00C61524"/>
    <w:rsid w:val="00C629E7"/>
    <w:rsid w:val="00C644EF"/>
    <w:rsid w:val="00C65F04"/>
    <w:rsid w:val="00C7055B"/>
    <w:rsid w:val="00C768F8"/>
    <w:rsid w:val="00C77266"/>
    <w:rsid w:val="00C80395"/>
    <w:rsid w:val="00C83672"/>
    <w:rsid w:val="00C83F97"/>
    <w:rsid w:val="00C9003B"/>
    <w:rsid w:val="00C9024F"/>
    <w:rsid w:val="00C90A89"/>
    <w:rsid w:val="00C9166C"/>
    <w:rsid w:val="00C92AAF"/>
    <w:rsid w:val="00C92B50"/>
    <w:rsid w:val="00C95C22"/>
    <w:rsid w:val="00C965C8"/>
    <w:rsid w:val="00CA0790"/>
    <w:rsid w:val="00CA2294"/>
    <w:rsid w:val="00CA30A7"/>
    <w:rsid w:val="00CA389F"/>
    <w:rsid w:val="00CA5049"/>
    <w:rsid w:val="00CA7BFC"/>
    <w:rsid w:val="00CB257E"/>
    <w:rsid w:val="00CB26B3"/>
    <w:rsid w:val="00CB7D3A"/>
    <w:rsid w:val="00CC2476"/>
    <w:rsid w:val="00CC3C7B"/>
    <w:rsid w:val="00CC4FA4"/>
    <w:rsid w:val="00CD5030"/>
    <w:rsid w:val="00CD54FD"/>
    <w:rsid w:val="00CD5B3A"/>
    <w:rsid w:val="00CE1EF9"/>
    <w:rsid w:val="00CE6C98"/>
    <w:rsid w:val="00CF3AF2"/>
    <w:rsid w:val="00CF5BFA"/>
    <w:rsid w:val="00D000E2"/>
    <w:rsid w:val="00D01231"/>
    <w:rsid w:val="00D019B1"/>
    <w:rsid w:val="00D035C3"/>
    <w:rsid w:val="00D07DAC"/>
    <w:rsid w:val="00D10785"/>
    <w:rsid w:val="00D11A45"/>
    <w:rsid w:val="00D11F1E"/>
    <w:rsid w:val="00D13105"/>
    <w:rsid w:val="00D1538A"/>
    <w:rsid w:val="00D15E4D"/>
    <w:rsid w:val="00D21D55"/>
    <w:rsid w:val="00D2498E"/>
    <w:rsid w:val="00D25992"/>
    <w:rsid w:val="00D34711"/>
    <w:rsid w:val="00D36767"/>
    <w:rsid w:val="00D40B65"/>
    <w:rsid w:val="00D4103B"/>
    <w:rsid w:val="00D415ED"/>
    <w:rsid w:val="00D418CD"/>
    <w:rsid w:val="00D4583B"/>
    <w:rsid w:val="00D527F9"/>
    <w:rsid w:val="00D53F6A"/>
    <w:rsid w:val="00D545D0"/>
    <w:rsid w:val="00D57FF2"/>
    <w:rsid w:val="00D615FC"/>
    <w:rsid w:val="00D64192"/>
    <w:rsid w:val="00D6780F"/>
    <w:rsid w:val="00D6789C"/>
    <w:rsid w:val="00D728CB"/>
    <w:rsid w:val="00D72ECC"/>
    <w:rsid w:val="00D7677A"/>
    <w:rsid w:val="00D91BAD"/>
    <w:rsid w:val="00D9264E"/>
    <w:rsid w:val="00D932E7"/>
    <w:rsid w:val="00D954C4"/>
    <w:rsid w:val="00D97034"/>
    <w:rsid w:val="00D97389"/>
    <w:rsid w:val="00DA2EAD"/>
    <w:rsid w:val="00DA6491"/>
    <w:rsid w:val="00DA7273"/>
    <w:rsid w:val="00DA7538"/>
    <w:rsid w:val="00DB024A"/>
    <w:rsid w:val="00DB03A7"/>
    <w:rsid w:val="00DB1F86"/>
    <w:rsid w:val="00DB3B9D"/>
    <w:rsid w:val="00DB59BE"/>
    <w:rsid w:val="00DB6398"/>
    <w:rsid w:val="00DB7EC0"/>
    <w:rsid w:val="00DC10FF"/>
    <w:rsid w:val="00DC1C5D"/>
    <w:rsid w:val="00DC2EAB"/>
    <w:rsid w:val="00DC5D64"/>
    <w:rsid w:val="00DC7525"/>
    <w:rsid w:val="00DD3185"/>
    <w:rsid w:val="00DD66F7"/>
    <w:rsid w:val="00DD7AFE"/>
    <w:rsid w:val="00DD7F59"/>
    <w:rsid w:val="00DF0AC8"/>
    <w:rsid w:val="00DF2ED4"/>
    <w:rsid w:val="00DF358F"/>
    <w:rsid w:val="00DF52D3"/>
    <w:rsid w:val="00DF5820"/>
    <w:rsid w:val="00E01338"/>
    <w:rsid w:val="00E025B3"/>
    <w:rsid w:val="00E04DDE"/>
    <w:rsid w:val="00E14CD2"/>
    <w:rsid w:val="00E175FA"/>
    <w:rsid w:val="00E21C02"/>
    <w:rsid w:val="00E22B1E"/>
    <w:rsid w:val="00E23DD6"/>
    <w:rsid w:val="00E24E3B"/>
    <w:rsid w:val="00E253E3"/>
    <w:rsid w:val="00E26317"/>
    <w:rsid w:val="00E26540"/>
    <w:rsid w:val="00E266A6"/>
    <w:rsid w:val="00E27836"/>
    <w:rsid w:val="00E3109D"/>
    <w:rsid w:val="00E31DDC"/>
    <w:rsid w:val="00E35C64"/>
    <w:rsid w:val="00E364B9"/>
    <w:rsid w:val="00E37064"/>
    <w:rsid w:val="00E37190"/>
    <w:rsid w:val="00E4210C"/>
    <w:rsid w:val="00E44313"/>
    <w:rsid w:val="00E4475D"/>
    <w:rsid w:val="00E4535E"/>
    <w:rsid w:val="00E462C4"/>
    <w:rsid w:val="00E50CB0"/>
    <w:rsid w:val="00E5186A"/>
    <w:rsid w:val="00E522A9"/>
    <w:rsid w:val="00E52519"/>
    <w:rsid w:val="00E52C0A"/>
    <w:rsid w:val="00E53977"/>
    <w:rsid w:val="00E539FB"/>
    <w:rsid w:val="00E555D4"/>
    <w:rsid w:val="00E56180"/>
    <w:rsid w:val="00E5775F"/>
    <w:rsid w:val="00E577AA"/>
    <w:rsid w:val="00E60222"/>
    <w:rsid w:val="00E60B7E"/>
    <w:rsid w:val="00E632F1"/>
    <w:rsid w:val="00E635AF"/>
    <w:rsid w:val="00E63E72"/>
    <w:rsid w:val="00E72A78"/>
    <w:rsid w:val="00E76BBD"/>
    <w:rsid w:val="00E8031F"/>
    <w:rsid w:val="00E82146"/>
    <w:rsid w:val="00E8258E"/>
    <w:rsid w:val="00E84D8C"/>
    <w:rsid w:val="00E8539A"/>
    <w:rsid w:val="00E86898"/>
    <w:rsid w:val="00E9071C"/>
    <w:rsid w:val="00E92BA2"/>
    <w:rsid w:val="00E93B06"/>
    <w:rsid w:val="00E9513F"/>
    <w:rsid w:val="00E97050"/>
    <w:rsid w:val="00EA1163"/>
    <w:rsid w:val="00EA11DC"/>
    <w:rsid w:val="00EA13C4"/>
    <w:rsid w:val="00EA55CF"/>
    <w:rsid w:val="00EA590B"/>
    <w:rsid w:val="00EA7834"/>
    <w:rsid w:val="00EA7FD7"/>
    <w:rsid w:val="00EB146C"/>
    <w:rsid w:val="00EB30E6"/>
    <w:rsid w:val="00EB6E66"/>
    <w:rsid w:val="00EB6F95"/>
    <w:rsid w:val="00EC0223"/>
    <w:rsid w:val="00EC058C"/>
    <w:rsid w:val="00EC25F7"/>
    <w:rsid w:val="00EC2F44"/>
    <w:rsid w:val="00EC348B"/>
    <w:rsid w:val="00EC36F6"/>
    <w:rsid w:val="00EC38D3"/>
    <w:rsid w:val="00EC47E3"/>
    <w:rsid w:val="00EC7F72"/>
    <w:rsid w:val="00ED6DDB"/>
    <w:rsid w:val="00ED7449"/>
    <w:rsid w:val="00ED7AF7"/>
    <w:rsid w:val="00EE166F"/>
    <w:rsid w:val="00EE41DA"/>
    <w:rsid w:val="00EF2189"/>
    <w:rsid w:val="00EF56C0"/>
    <w:rsid w:val="00EF64E8"/>
    <w:rsid w:val="00EF6954"/>
    <w:rsid w:val="00F02F0B"/>
    <w:rsid w:val="00F10996"/>
    <w:rsid w:val="00F1131C"/>
    <w:rsid w:val="00F1179E"/>
    <w:rsid w:val="00F1274E"/>
    <w:rsid w:val="00F16EDF"/>
    <w:rsid w:val="00F205BD"/>
    <w:rsid w:val="00F206CF"/>
    <w:rsid w:val="00F21927"/>
    <w:rsid w:val="00F30D2E"/>
    <w:rsid w:val="00F3205B"/>
    <w:rsid w:val="00F34EDC"/>
    <w:rsid w:val="00F45561"/>
    <w:rsid w:val="00F468E0"/>
    <w:rsid w:val="00F47403"/>
    <w:rsid w:val="00F545F1"/>
    <w:rsid w:val="00F54B08"/>
    <w:rsid w:val="00F55788"/>
    <w:rsid w:val="00F5600A"/>
    <w:rsid w:val="00F64E60"/>
    <w:rsid w:val="00F71309"/>
    <w:rsid w:val="00F73A21"/>
    <w:rsid w:val="00F73AF7"/>
    <w:rsid w:val="00F75BD8"/>
    <w:rsid w:val="00F768E5"/>
    <w:rsid w:val="00F772BB"/>
    <w:rsid w:val="00F77314"/>
    <w:rsid w:val="00F7763E"/>
    <w:rsid w:val="00F8222F"/>
    <w:rsid w:val="00F85D03"/>
    <w:rsid w:val="00F85FFF"/>
    <w:rsid w:val="00F861AE"/>
    <w:rsid w:val="00F87858"/>
    <w:rsid w:val="00F9176B"/>
    <w:rsid w:val="00F932B0"/>
    <w:rsid w:val="00F94753"/>
    <w:rsid w:val="00F95CA6"/>
    <w:rsid w:val="00F961E2"/>
    <w:rsid w:val="00F964C5"/>
    <w:rsid w:val="00F9768F"/>
    <w:rsid w:val="00FA0C96"/>
    <w:rsid w:val="00FA1474"/>
    <w:rsid w:val="00FA3B04"/>
    <w:rsid w:val="00FA405A"/>
    <w:rsid w:val="00FB2250"/>
    <w:rsid w:val="00FB2EE4"/>
    <w:rsid w:val="00FB5CD3"/>
    <w:rsid w:val="00FC0ECB"/>
    <w:rsid w:val="00FC1EEF"/>
    <w:rsid w:val="00FC29AC"/>
    <w:rsid w:val="00FC3DBE"/>
    <w:rsid w:val="00FC4D7F"/>
    <w:rsid w:val="00FC6FC2"/>
    <w:rsid w:val="00FC7B68"/>
    <w:rsid w:val="00FD4050"/>
    <w:rsid w:val="00FD52C3"/>
    <w:rsid w:val="00FD6510"/>
    <w:rsid w:val="00FD6C6B"/>
    <w:rsid w:val="00FE24A0"/>
    <w:rsid w:val="00FE2833"/>
    <w:rsid w:val="00FE314E"/>
    <w:rsid w:val="00FE39B5"/>
    <w:rsid w:val="00FE3CA9"/>
    <w:rsid w:val="00FE509B"/>
    <w:rsid w:val="00FE5AEA"/>
    <w:rsid w:val="00FF18ED"/>
    <w:rsid w:val="00FF581B"/>
    <w:rsid w:val="00FF6A08"/>
    <w:rsid w:val="00FF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DF65"/>
  <w15:chartTrackingRefBased/>
  <w15:docId w15:val="{079F683F-CE78-4C2E-A356-8520BDC2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EC6"/>
    <w:pPr>
      <w:spacing w:after="120"/>
      <w:jc w:val="both"/>
    </w:pPr>
    <w:rPr>
      <w:rFonts w:ascii="Times New Roman" w:hAnsi="Times New Roman"/>
      <w:sz w:val="24"/>
    </w:rPr>
  </w:style>
  <w:style w:type="paragraph" w:styleId="Heading1">
    <w:name w:val="heading 1"/>
    <w:basedOn w:val="Normal"/>
    <w:next w:val="Normal"/>
    <w:link w:val="Heading1Char"/>
    <w:uiPriority w:val="9"/>
    <w:qFormat/>
    <w:rsid w:val="00B9071F"/>
    <w:pPr>
      <w:keepNext/>
      <w:keepLines/>
      <w:outlineLvl w:val="0"/>
    </w:pPr>
    <w:rPr>
      <w:rFonts w:eastAsiaTheme="majorEastAsia" w:cstheme="minorHAnsi"/>
      <w:b/>
      <w:caps/>
      <w:color w:val="0070C0"/>
      <w:sz w:val="28"/>
      <w:szCs w:val="32"/>
    </w:rPr>
  </w:style>
  <w:style w:type="paragraph" w:styleId="Heading2">
    <w:name w:val="heading 2"/>
    <w:basedOn w:val="Normal"/>
    <w:next w:val="Normal"/>
    <w:link w:val="Heading2Char"/>
    <w:uiPriority w:val="9"/>
    <w:unhideWhenUsed/>
    <w:qFormat/>
    <w:rsid w:val="00BF6346"/>
    <w:pPr>
      <w:keepNext/>
      <w:keepLines/>
      <w:numPr>
        <w:numId w:val="1"/>
      </w:numPr>
      <w:pBdr>
        <w:bottom w:val="single" w:sz="8" w:space="1" w:color="auto"/>
      </w:pBdr>
      <w:spacing w:line="240" w:lineRule="auto"/>
      <w:ind w:left="360"/>
      <w:outlineLvl w:val="1"/>
    </w:pPr>
    <w:rPr>
      <w:rFonts w:eastAsiaTheme="majorEastAsia" w:cs="Times New Roman"/>
      <w:b/>
      <w:color w:val="595959" w:themeColor="text1" w:themeTint="A6"/>
      <w:szCs w:val="26"/>
    </w:rPr>
  </w:style>
  <w:style w:type="paragraph" w:styleId="Heading3">
    <w:name w:val="heading 3"/>
    <w:basedOn w:val="Normal"/>
    <w:next w:val="Normal"/>
    <w:link w:val="Heading3Char"/>
    <w:uiPriority w:val="9"/>
    <w:unhideWhenUsed/>
    <w:qFormat/>
    <w:rsid w:val="00AA7DD5"/>
    <w:pPr>
      <w:widowControl w:val="0"/>
      <w:spacing w:before="40" w:after="80" w:line="240" w:lineRule="auto"/>
      <w:outlineLvl w:val="2"/>
    </w:pPr>
    <w:rPr>
      <w:b/>
      <w:color w:val="0070C0"/>
    </w:rPr>
  </w:style>
  <w:style w:type="paragraph" w:styleId="Heading4">
    <w:name w:val="heading 4"/>
    <w:basedOn w:val="Normal"/>
    <w:next w:val="Normal"/>
    <w:link w:val="Heading4Char"/>
    <w:uiPriority w:val="9"/>
    <w:unhideWhenUsed/>
    <w:qFormat/>
    <w:rsid w:val="00B907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71F"/>
    <w:rPr>
      <w:rFonts w:ascii="Times New Roman" w:eastAsiaTheme="majorEastAsia" w:hAnsi="Times New Roman" w:cstheme="minorHAnsi"/>
      <w:b/>
      <w:caps/>
      <w:color w:val="0070C0"/>
      <w:sz w:val="28"/>
      <w:szCs w:val="32"/>
    </w:rPr>
  </w:style>
  <w:style w:type="character" w:customStyle="1" w:styleId="Heading2Char">
    <w:name w:val="Heading 2 Char"/>
    <w:basedOn w:val="DefaultParagraphFont"/>
    <w:link w:val="Heading2"/>
    <w:uiPriority w:val="9"/>
    <w:rsid w:val="00BF6346"/>
    <w:rPr>
      <w:rFonts w:ascii="Times New Roman" w:eastAsiaTheme="majorEastAsia" w:hAnsi="Times New Roman" w:cs="Times New Roman"/>
      <w:b/>
      <w:color w:val="595959" w:themeColor="text1" w:themeTint="A6"/>
      <w:sz w:val="24"/>
      <w:szCs w:val="26"/>
    </w:rPr>
  </w:style>
  <w:style w:type="character" w:customStyle="1" w:styleId="Heading3Char">
    <w:name w:val="Heading 3 Char"/>
    <w:basedOn w:val="DefaultParagraphFont"/>
    <w:link w:val="Heading3"/>
    <w:uiPriority w:val="9"/>
    <w:rsid w:val="00AA7DD5"/>
    <w:rPr>
      <w:rFonts w:ascii="Times New Roman" w:hAnsi="Times New Roman"/>
      <w:b/>
      <w:color w:val="0070C0"/>
      <w:sz w:val="24"/>
    </w:rPr>
  </w:style>
  <w:style w:type="character" w:customStyle="1" w:styleId="Heading4Char">
    <w:name w:val="Heading 4 Char"/>
    <w:basedOn w:val="DefaultParagraphFont"/>
    <w:link w:val="Heading4"/>
    <w:uiPriority w:val="9"/>
    <w:rsid w:val="00B9071F"/>
    <w:rPr>
      <w:rFonts w:asciiTheme="majorHAnsi" w:eastAsiaTheme="majorEastAsia" w:hAnsiTheme="majorHAnsi" w:cstheme="majorBidi"/>
      <w:i/>
      <w:iCs/>
      <w:color w:val="2F5496" w:themeColor="accent1" w:themeShade="BF"/>
      <w:sz w:val="24"/>
    </w:rPr>
  </w:style>
  <w:style w:type="paragraph" w:styleId="ListParagraph">
    <w:name w:val="List Paragraph"/>
    <w:aliases w:val="Akapit z listą BS,Bullets,List Paragraph 1,List_Paragraph,Multilevel para_II,List Paragraph1,References,List Paragraph (numbered (a)),IBL List Paragraph,List Paragraph nowy,Numbered List Paragraph"/>
    <w:basedOn w:val="Normal"/>
    <w:link w:val="ListParagraphChar"/>
    <w:uiPriority w:val="34"/>
    <w:qFormat/>
    <w:rsid w:val="00B9071F"/>
    <w:pPr>
      <w:ind w:left="720"/>
      <w:contextualSpacing/>
    </w:pPr>
  </w:style>
  <w:style w:type="character" w:customStyle="1" w:styleId="ListParagraphChar">
    <w:name w:val="List Paragraph Char"/>
    <w:aliases w:val="Akapit z listą BS Char,Bullets Char,List Paragraph 1 Char,List_Paragraph Char,Multilevel para_II Char,List Paragraph1 Char,References Char,List Paragraph (numbered (a)) Char,IBL List Paragraph Char,List Paragraph nowy Char"/>
    <w:basedOn w:val="DefaultParagraphFont"/>
    <w:link w:val="ListParagraph"/>
    <w:uiPriority w:val="34"/>
    <w:locked/>
    <w:rsid w:val="00B9071F"/>
    <w:rPr>
      <w:rFonts w:ascii="Times New Roman" w:hAnsi="Times New Roman"/>
      <w:sz w:val="24"/>
    </w:rPr>
  </w:style>
  <w:style w:type="paragraph" w:styleId="NoSpacing">
    <w:name w:val="No Spacing"/>
    <w:link w:val="NoSpacingChar"/>
    <w:uiPriority w:val="1"/>
    <w:qFormat/>
    <w:rsid w:val="00B9071F"/>
    <w:pPr>
      <w:spacing w:after="0" w:line="240" w:lineRule="auto"/>
    </w:pPr>
    <w:rPr>
      <w:rFonts w:ascii="Times New Roman" w:hAnsi="Times New Roman"/>
      <w:sz w:val="24"/>
    </w:rPr>
  </w:style>
  <w:style w:type="paragraph" w:customStyle="1" w:styleId="Default">
    <w:name w:val="Default"/>
    <w:rsid w:val="00B9071F"/>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B90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71F"/>
    <w:rPr>
      <w:rFonts w:ascii="Times New Roman" w:hAnsi="Times New Roman"/>
      <w:sz w:val="24"/>
    </w:rPr>
  </w:style>
  <w:style w:type="paragraph" w:styleId="Footer">
    <w:name w:val="footer"/>
    <w:basedOn w:val="Normal"/>
    <w:link w:val="FooterChar"/>
    <w:uiPriority w:val="99"/>
    <w:unhideWhenUsed/>
    <w:rsid w:val="00B90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71F"/>
    <w:rPr>
      <w:rFonts w:ascii="Times New Roman" w:hAnsi="Times New Roman"/>
      <w:sz w:val="24"/>
    </w:rPr>
  </w:style>
  <w:style w:type="paragraph" w:styleId="TOCHeading">
    <w:name w:val="TOC Heading"/>
    <w:basedOn w:val="Heading1"/>
    <w:next w:val="Normal"/>
    <w:uiPriority w:val="39"/>
    <w:unhideWhenUsed/>
    <w:qFormat/>
    <w:rsid w:val="00B9071F"/>
    <w:pPr>
      <w:spacing w:before="240" w:after="0"/>
      <w:jc w:val="left"/>
      <w:outlineLvl w:val="9"/>
    </w:pPr>
    <w:rPr>
      <w:rFonts w:asciiTheme="majorHAnsi" w:hAnsiTheme="majorHAnsi" w:cstheme="majorBidi"/>
      <w:b w:val="0"/>
      <w:sz w:val="32"/>
    </w:rPr>
  </w:style>
  <w:style w:type="paragraph" w:styleId="TOC1">
    <w:name w:val="toc 1"/>
    <w:basedOn w:val="Normal"/>
    <w:next w:val="Normal"/>
    <w:autoRedefine/>
    <w:uiPriority w:val="39"/>
    <w:unhideWhenUsed/>
    <w:rsid w:val="00B9071F"/>
    <w:pPr>
      <w:tabs>
        <w:tab w:val="right" w:leader="dot" w:pos="9736"/>
      </w:tabs>
      <w:spacing w:after="100"/>
    </w:pPr>
  </w:style>
  <w:style w:type="paragraph" w:styleId="TOC2">
    <w:name w:val="toc 2"/>
    <w:basedOn w:val="Normal"/>
    <w:next w:val="Normal"/>
    <w:autoRedefine/>
    <w:uiPriority w:val="39"/>
    <w:unhideWhenUsed/>
    <w:rsid w:val="00B9071F"/>
    <w:pPr>
      <w:spacing w:after="100"/>
      <w:ind w:left="200"/>
    </w:pPr>
  </w:style>
  <w:style w:type="character" w:styleId="Hyperlink">
    <w:name w:val="Hyperlink"/>
    <w:basedOn w:val="DefaultParagraphFont"/>
    <w:uiPriority w:val="99"/>
    <w:unhideWhenUsed/>
    <w:rsid w:val="00B9071F"/>
    <w:rPr>
      <w:color w:val="0563C1" w:themeColor="hyperlink"/>
      <w:u w:val="single"/>
    </w:rPr>
  </w:style>
  <w:style w:type="paragraph" w:styleId="TOC3">
    <w:name w:val="toc 3"/>
    <w:basedOn w:val="Normal"/>
    <w:next w:val="Normal"/>
    <w:autoRedefine/>
    <w:uiPriority w:val="39"/>
    <w:unhideWhenUsed/>
    <w:rsid w:val="00B9071F"/>
    <w:pPr>
      <w:spacing w:after="100"/>
      <w:ind w:left="400"/>
    </w:pPr>
  </w:style>
  <w:style w:type="paragraph" w:styleId="FootnoteText">
    <w:name w:val="footnote text"/>
    <w:basedOn w:val="Normal"/>
    <w:link w:val="FootnoteTextChar"/>
    <w:unhideWhenUsed/>
    <w:rsid w:val="00B9071F"/>
    <w:pPr>
      <w:spacing w:after="0" w:line="240" w:lineRule="auto"/>
    </w:pPr>
    <w:rPr>
      <w:rFonts w:cs="Arial"/>
      <w:szCs w:val="20"/>
    </w:rPr>
  </w:style>
  <w:style w:type="character" w:customStyle="1" w:styleId="FootnoteTextChar">
    <w:name w:val="Footnote Text Char"/>
    <w:basedOn w:val="DefaultParagraphFont"/>
    <w:link w:val="FootnoteText"/>
    <w:rsid w:val="00B9071F"/>
    <w:rPr>
      <w:rFonts w:ascii="Times New Roman" w:hAnsi="Times New Roman" w:cs="Arial"/>
      <w:sz w:val="24"/>
      <w:szCs w:val="20"/>
    </w:rPr>
  </w:style>
  <w:style w:type="character" w:styleId="FootnoteReference">
    <w:name w:val="footnote reference"/>
    <w:basedOn w:val="DefaultParagraphFont"/>
    <w:semiHidden/>
    <w:unhideWhenUsed/>
    <w:rsid w:val="00B9071F"/>
    <w:rPr>
      <w:vertAlign w:val="superscript"/>
    </w:rPr>
  </w:style>
  <w:style w:type="character" w:styleId="CommentReference">
    <w:name w:val="annotation reference"/>
    <w:basedOn w:val="DefaultParagraphFont"/>
    <w:uiPriority w:val="99"/>
    <w:semiHidden/>
    <w:unhideWhenUsed/>
    <w:rsid w:val="00B9071F"/>
    <w:rPr>
      <w:sz w:val="16"/>
      <w:szCs w:val="16"/>
    </w:rPr>
  </w:style>
  <w:style w:type="paragraph" w:styleId="CommentText">
    <w:name w:val="annotation text"/>
    <w:basedOn w:val="Normal"/>
    <w:link w:val="CommentTextChar"/>
    <w:uiPriority w:val="99"/>
    <w:unhideWhenUsed/>
    <w:rsid w:val="00B9071F"/>
    <w:pPr>
      <w:spacing w:line="240" w:lineRule="auto"/>
    </w:pPr>
    <w:rPr>
      <w:szCs w:val="20"/>
    </w:rPr>
  </w:style>
  <w:style w:type="character" w:customStyle="1" w:styleId="CommentTextChar">
    <w:name w:val="Comment Text Char"/>
    <w:basedOn w:val="DefaultParagraphFont"/>
    <w:link w:val="CommentText"/>
    <w:uiPriority w:val="99"/>
    <w:rsid w:val="00B9071F"/>
    <w:rPr>
      <w:rFonts w:ascii="Times New Roman" w:hAnsi="Times New Roman"/>
      <w:sz w:val="24"/>
      <w:szCs w:val="20"/>
    </w:rPr>
  </w:style>
  <w:style w:type="paragraph" w:styleId="CommentSubject">
    <w:name w:val="annotation subject"/>
    <w:basedOn w:val="CommentText"/>
    <w:next w:val="CommentText"/>
    <w:link w:val="CommentSubjectChar"/>
    <w:uiPriority w:val="99"/>
    <w:semiHidden/>
    <w:unhideWhenUsed/>
    <w:rsid w:val="00B9071F"/>
    <w:rPr>
      <w:b/>
      <w:bCs/>
    </w:rPr>
  </w:style>
  <w:style w:type="character" w:customStyle="1" w:styleId="CommentSubjectChar">
    <w:name w:val="Comment Subject Char"/>
    <w:basedOn w:val="CommentTextChar"/>
    <w:link w:val="CommentSubject"/>
    <w:uiPriority w:val="99"/>
    <w:semiHidden/>
    <w:rsid w:val="00B9071F"/>
    <w:rPr>
      <w:rFonts w:ascii="Times New Roman" w:hAnsi="Times New Roman"/>
      <w:b/>
      <w:bCs/>
      <w:sz w:val="24"/>
      <w:szCs w:val="20"/>
    </w:rPr>
  </w:style>
  <w:style w:type="paragraph" w:styleId="BalloonText">
    <w:name w:val="Balloon Text"/>
    <w:basedOn w:val="Normal"/>
    <w:link w:val="BalloonTextChar"/>
    <w:uiPriority w:val="99"/>
    <w:semiHidden/>
    <w:unhideWhenUsed/>
    <w:rsid w:val="00B90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71F"/>
    <w:rPr>
      <w:rFonts w:ascii="Segoe UI" w:hAnsi="Segoe UI" w:cs="Segoe UI"/>
      <w:sz w:val="18"/>
      <w:szCs w:val="18"/>
    </w:rPr>
  </w:style>
  <w:style w:type="paragraph" w:styleId="Caption">
    <w:name w:val="caption"/>
    <w:basedOn w:val="Normal"/>
    <w:next w:val="Normal"/>
    <w:uiPriority w:val="35"/>
    <w:unhideWhenUsed/>
    <w:qFormat/>
    <w:rsid w:val="00B9071F"/>
    <w:pPr>
      <w:keepNext/>
      <w:spacing w:before="80" w:after="80" w:line="240" w:lineRule="auto"/>
      <w:jc w:val="left"/>
    </w:pPr>
    <w:rPr>
      <w:rFonts w:cs="Times New Roman"/>
      <w:i/>
      <w:iCs/>
      <w:color w:val="159BFF"/>
      <w:sz w:val="22"/>
      <w:szCs w:val="24"/>
    </w:rPr>
  </w:style>
  <w:style w:type="paragraph" w:styleId="TableofFigures">
    <w:name w:val="table of figures"/>
    <w:basedOn w:val="Normal"/>
    <w:next w:val="Normal"/>
    <w:uiPriority w:val="99"/>
    <w:unhideWhenUsed/>
    <w:rsid w:val="00B9071F"/>
    <w:pPr>
      <w:spacing w:after="0"/>
    </w:pPr>
  </w:style>
  <w:style w:type="table" w:styleId="TableGrid">
    <w:name w:val="Table Grid"/>
    <w:basedOn w:val="TableNormal"/>
    <w:uiPriority w:val="39"/>
    <w:rsid w:val="00B9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9071F"/>
    <w:pPr>
      <w:spacing w:after="0" w:line="240" w:lineRule="auto"/>
    </w:pPr>
    <w:rPr>
      <w:szCs w:val="20"/>
    </w:rPr>
  </w:style>
  <w:style w:type="character" w:customStyle="1" w:styleId="EndnoteTextChar">
    <w:name w:val="Endnote Text Char"/>
    <w:basedOn w:val="DefaultParagraphFont"/>
    <w:link w:val="EndnoteText"/>
    <w:uiPriority w:val="99"/>
    <w:semiHidden/>
    <w:rsid w:val="00B9071F"/>
    <w:rPr>
      <w:rFonts w:ascii="Times New Roman" w:hAnsi="Times New Roman"/>
      <w:sz w:val="24"/>
      <w:szCs w:val="20"/>
    </w:rPr>
  </w:style>
  <w:style w:type="character" w:styleId="EndnoteReference">
    <w:name w:val="endnote reference"/>
    <w:basedOn w:val="DefaultParagraphFont"/>
    <w:uiPriority w:val="99"/>
    <w:semiHidden/>
    <w:unhideWhenUsed/>
    <w:rsid w:val="00B9071F"/>
    <w:rPr>
      <w:vertAlign w:val="superscript"/>
    </w:rPr>
  </w:style>
  <w:style w:type="character" w:customStyle="1" w:styleId="Mention1">
    <w:name w:val="Mention1"/>
    <w:basedOn w:val="DefaultParagraphFont"/>
    <w:uiPriority w:val="99"/>
    <w:semiHidden/>
    <w:unhideWhenUsed/>
    <w:rsid w:val="00B9071F"/>
    <w:rPr>
      <w:color w:val="2B579A"/>
      <w:shd w:val="clear" w:color="auto" w:fill="E6E6E6"/>
    </w:rPr>
  </w:style>
  <w:style w:type="table" w:customStyle="1" w:styleId="TableGrid0">
    <w:name w:val="TableGrid"/>
    <w:rsid w:val="00B9071F"/>
    <w:pPr>
      <w:spacing w:after="0" w:line="240" w:lineRule="auto"/>
    </w:pPr>
    <w:rPr>
      <w:rFonts w:eastAsiaTheme="minorEastAsia"/>
      <w:lang w:val="ru-RU" w:eastAsia="ru-RU"/>
    </w:rPr>
    <w:tblPr>
      <w:tblCellMar>
        <w:top w:w="0" w:type="dxa"/>
        <w:left w:w="0" w:type="dxa"/>
        <w:bottom w:w="0" w:type="dxa"/>
        <w:right w:w="0" w:type="dxa"/>
      </w:tblCellMar>
    </w:tblPr>
  </w:style>
  <w:style w:type="table" w:customStyle="1" w:styleId="GridTable1Light1">
    <w:name w:val="Grid Table 1 Light1"/>
    <w:basedOn w:val="TableNormal"/>
    <w:uiPriority w:val="46"/>
    <w:rsid w:val="00B907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1">
    <w:name w:val="List 1"/>
    <w:basedOn w:val="ListParagraph"/>
    <w:link w:val="List1Char"/>
    <w:qFormat/>
    <w:rsid w:val="00AA7DD5"/>
    <w:pPr>
      <w:widowControl w:val="0"/>
      <w:numPr>
        <w:numId w:val="8"/>
      </w:numPr>
      <w:spacing w:line="240" w:lineRule="auto"/>
      <w:ind w:left="450"/>
    </w:pPr>
  </w:style>
  <w:style w:type="character" w:customStyle="1" w:styleId="List1Char">
    <w:name w:val="List 1 Char"/>
    <w:link w:val="List1"/>
    <w:rsid w:val="00AA7DD5"/>
    <w:rPr>
      <w:rFonts w:ascii="Times New Roman" w:hAnsi="Times New Roman"/>
      <w:sz w:val="24"/>
    </w:rPr>
  </w:style>
  <w:style w:type="character" w:styleId="IntenseEmphasis">
    <w:name w:val="Intense Emphasis"/>
    <w:uiPriority w:val="21"/>
    <w:qFormat/>
    <w:rsid w:val="00B9071F"/>
    <w:rPr>
      <w:rFonts w:asciiTheme="majorHAnsi" w:hAnsiTheme="majorHAnsi" w:cstheme="majorHAnsi"/>
      <w:b/>
      <w:i/>
      <w:color w:val="0070C0"/>
      <w:lang w:val="en-US"/>
    </w:rPr>
  </w:style>
  <w:style w:type="character" w:customStyle="1" w:styleId="apple-converted-space">
    <w:name w:val="apple-converted-space"/>
    <w:basedOn w:val="DefaultParagraphFont"/>
    <w:rsid w:val="00B9071F"/>
  </w:style>
  <w:style w:type="paragraph" w:customStyle="1" w:styleId="Footnote">
    <w:name w:val="Footnote"/>
    <w:basedOn w:val="FootnoteText"/>
    <w:link w:val="FootnoteChar"/>
    <w:qFormat/>
    <w:rsid w:val="00B9071F"/>
    <w:rPr>
      <w:rFonts w:cstheme="minorHAnsi"/>
      <w:sz w:val="18"/>
      <w:szCs w:val="18"/>
    </w:rPr>
  </w:style>
  <w:style w:type="character" w:customStyle="1" w:styleId="FootnoteChar">
    <w:name w:val="Footnote Char"/>
    <w:basedOn w:val="FootnoteTextChar"/>
    <w:link w:val="Footnote"/>
    <w:rsid w:val="00B9071F"/>
    <w:rPr>
      <w:rFonts w:ascii="Times New Roman" w:hAnsi="Times New Roman" w:cstheme="minorHAnsi"/>
      <w:sz w:val="18"/>
      <w:szCs w:val="18"/>
    </w:rPr>
  </w:style>
  <w:style w:type="character" w:styleId="Emphasis">
    <w:name w:val="Emphasis"/>
    <w:basedOn w:val="DefaultParagraphFont"/>
    <w:uiPriority w:val="20"/>
    <w:qFormat/>
    <w:rsid w:val="00B9071F"/>
    <w:rPr>
      <w:i/>
      <w:iCs/>
    </w:rPr>
  </w:style>
  <w:style w:type="character" w:customStyle="1" w:styleId="UnresolvedMention1">
    <w:name w:val="Unresolved Mention1"/>
    <w:basedOn w:val="DefaultParagraphFont"/>
    <w:uiPriority w:val="99"/>
    <w:semiHidden/>
    <w:unhideWhenUsed/>
    <w:rsid w:val="00B9071F"/>
    <w:rPr>
      <w:color w:val="808080"/>
      <w:shd w:val="clear" w:color="auto" w:fill="E6E6E6"/>
    </w:rPr>
  </w:style>
  <w:style w:type="character" w:customStyle="1" w:styleId="NoSpacingChar">
    <w:name w:val="No Spacing Char"/>
    <w:link w:val="NoSpacing"/>
    <w:uiPriority w:val="1"/>
    <w:rsid w:val="00B9071F"/>
    <w:rPr>
      <w:rFonts w:ascii="Times New Roman" w:hAnsi="Times New Roman"/>
      <w:sz w:val="24"/>
    </w:rPr>
  </w:style>
  <w:style w:type="character" w:styleId="Strong">
    <w:name w:val="Strong"/>
    <w:uiPriority w:val="22"/>
    <w:qFormat/>
    <w:rsid w:val="00B9071F"/>
    <w:rPr>
      <w:b/>
      <w:bCs/>
    </w:rPr>
  </w:style>
  <w:style w:type="paragraph" w:styleId="BodyText2">
    <w:name w:val="Body Text 2"/>
    <w:basedOn w:val="Normal"/>
    <w:link w:val="BodyText2Char"/>
    <w:rsid w:val="00B9071F"/>
    <w:pPr>
      <w:spacing w:after="0" w:line="240" w:lineRule="auto"/>
    </w:pPr>
    <w:rPr>
      <w:rFonts w:ascii="LitNusx" w:eastAsia="Times New Roman" w:hAnsi="LitNusx" w:cs="Times New Roman"/>
      <w:color w:val="FF0000"/>
      <w:sz w:val="28"/>
      <w:szCs w:val="20"/>
    </w:rPr>
  </w:style>
  <w:style w:type="character" w:customStyle="1" w:styleId="BodyText2Char">
    <w:name w:val="Body Text 2 Char"/>
    <w:basedOn w:val="DefaultParagraphFont"/>
    <w:link w:val="BodyText2"/>
    <w:rsid w:val="00B9071F"/>
    <w:rPr>
      <w:rFonts w:ascii="LitNusx" w:eastAsia="Times New Roman" w:hAnsi="LitNusx" w:cs="Times New Roman"/>
      <w:color w:val="FF0000"/>
      <w:sz w:val="28"/>
      <w:szCs w:val="20"/>
    </w:rPr>
  </w:style>
  <w:style w:type="paragraph" w:customStyle="1" w:styleId="gmail-msolistparagraph">
    <w:name w:val="gmail-msolistparagraph"/>
    <w:basedOn w:val="Normal"/>
    <w:rsid w:val="00B9071F"/>
    <w:pPr>
      <w:spacing w:before="100" w:beforeAutospacing="1" w:after="100" w:afterAutospacing="1" w:line="240" w:lineRule="auto"/>
      <w:jc w:val="left"/>
    </w:pPr>
    <w:rPr>
      <w:rFonts w:ascii="Calibri" w:hAnsi="Calibri" w:cs="Calibri"/>
      <w:sz w:val="22"/>
    </w:rPr>
  </w:style>
  <w:style w:type="table" w:customStyle="1" w:styleId="Vaalearuudukkotaulukko11">
    <w:name w:val="Vaalea ruudukkotaulukko 11"/>
    <w:basedOn w:val="TableNormal"/>
    <w:uiPriority w:val="46"/>
    <w:rsid w:val="00B907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B9071F"/>
    <w:pPr>
      <w:spacing w:after="0" w:line="240" w:lineRule="auto"/>
    </w:pPr>
    <w:rPr>
      <w:rFonts w:ascii="Times New Roman" w:hAnsi="Times New Roman"/>
      <w:sz w:val="24"/>
    </w:rPr>
  </w:style>
  <w:style w:type="table" w:styleId="GridTable1Light">
    <w:name w:val="Grid Table 1 Light"/>
    <w:basedOn w:val="TableNormal"/>
    <w:uiPriority w:val="46"/>
    <w:rsid w:val="00B907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9071F"/>
    <w:rPr>
      <w:color w:val="954F72" w:themeColor="followedHyperlink"/>
      <w:u w:val="single"/>
    </w:rPr>
  </w:style>
  <w:style w:type="paragraph" w:styleId="NormalWeb">
    <w:name w:val="Normal (Web)"/>
    <w:basedOn w:val="Normal"/>
    <w:uiPriority w:val="99"/>
    <w:semiHidden/>
    <w:unhideWhenUsed/>
    <w:rsid w:val="00B9071F"/>
    <w:pPr>
      <w:spacing w:before="100" w:beforeAutospacing="1" w:after="100" w:afterAutospacing="1" w:line="240" w:lineRule="auto"/>
      <w:jc w:val="left"/>
    </w:pPr>
    <w:rPr>
      <w:rFonts w:eastAsia="Times New Roman" w:cs="Times New Roman"/>
      <w:szCs w:val="24"/>
    </w:rPr>
  </w:style>
  <w:style w:type="numbering" w:customStyle="1" w:styleId="Tyyli1">
    <w:name w:val="Tyyli1"/>
    <w:uiPriority w:val="99"/>
    <w:rsid w:val="00B9071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5.png"/><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1.png"/><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chart" Target="charts/chart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pfound.ge/wp-content/uploads/2017/06/2016-SPS-Report-in-English.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Notifications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31</c:v>
                </c:pt>
                <c:pt idx="1">
                  <c:v>44</c:v>
                </c:pt>
                <c:pt idx="2">
                  <c:v>53</c:v>
                </c:pt>
                <c:pt idx="3">
                  <c:v>56</c:v>
                </c:pt>
                <c:pt idx="4">
                  <c:v>65</c:v>
                </c:pt>
                <c:pt idx="5">
                  <c:v>59</c:v>
                </c:pt>
                <c:pt idx="6">
                  <c:v>77</c:v>
                </c:pt>
                <c:pt idx="7">
                  <c:v>113</c:v>
                </c:pt>
                <c:pt idx="8">
                  <c:v>80</c:v>
                </c:pt>
                <c:pt idx="9">
                  <c:v>57</c:v>
                </c:pt>
                <c:pt idx="10">
                  <c:v>68</c:v>
                </c:pt>
                <c:pt idx="11">
                  <c:v>57</c:v>
                </c:pt>
              </c:numCache>
            </c:numRef>
          </c:val>
          <c:smooth val="0"/>
          <c:extLst>
            <c:ext xmlns:c16="http://schemas.microsoft.com/office/drawing/2014/chart" uri="{C3380CC4-5D6E-409C-BE32-E72D297353CC}">
              <c16:uniqueId val="{00000000-2374-4DA0-B4E7-7720BA792351}"/>
            </c:ext>
          </c:extLst>
        </c:ser>
        <c:dLbls>
          <c:showLegendKey val="0"/>
          <c:showVal val="0"/>
          <c:showCatName val="0"/>
          <c:showSerName val="0"/>
          <c:showPercent val="0"/>
          <c:showBubbleSize val="0"/>
        </c:dLbls>
        <c:marker val="1"/>
        <c:smooth val="0"/>
        <c:axId val="583690304"/>
        <c:axId val="583690632"/>
      </c:lineChart>
      <c:catAx>
        <c:axId val="58369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3690632"/>
        <c:crosses val="autoZero"/>
        <c:auto val="1"/>
        <c:lblAlgn val="ctr"/>
        <c:lblOffset val="100"/>
        <c:noMultiLvlLbl val="0"/>
      </c:catAx>
      <c:valAx>
        <c:axId val="583690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369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Notifications</c:v>
                </c:pt>
              </c:strCache>
            </c:strRef>
          </c:tx>
          <c:spPr>
            <a:solidFill>
              <a:schemeClr val="accent1"/>
            </a:solidFill>
            <a:ln>
              <a:noFill/>
            </a:ln>
            <a:effectLst/>
          </c:spPr>
          <c:invertIfNegative val="0"/>
          <c:cat>
            <c:strRef>
              <c:f>Sheet1!$A$2:$A$12</c:f>
              <c:strCache>
                <c:ptCount val="11"/>
                <c:pt idx="0">
                  <c:v>Adjara</c:v>
                </c:pt>
                <c:pt idx="1">
                  <c:v>Guria</c:v>
                </c:pt>
                <c:pt idx="2">
                  <c:v>Samegrelo-Zemo Svaneti</c:v>
                </c:pt>
                <c:pt idx="3">
                  <c:v>Imereti</c:v>
                </c:pt>
                <c:pt idx="4">
                  <c:v>Racha-Lechkhumi-Kvemo Svaneti</c:v>
                </c:pt>
                <c:pt idx="5">
                  <c:v>Samtskhe-Javakheti</c:v>
                </c:pt>
                <c:pt idx="6">
                  <c:v>Shida Kartli</c:v>
                </c:pt>
                <c:pt idx="7">
                  <c:v>Kvemo Kartli</c:v>
                </c:pt>
                <c:pt idx="8">
                  <c:v>Mtskheta-Mtianeti</c:v>
                </c:pt>
                <c:pt idx="9">
                  <c:v>Kakheti</c:v>
                </c:pt>
                <c:pt idx="10">
                  <c:v>Tbilisi</c:v>
                </c:pt>
              </c:strCache>
            </c:strRef>
          </c:cat>
          <c:val>
            <c:numRef>
              <c:f>Sheet1!$B$2:$B$12</c:f>
              <c:numCache>
                <c:formatCode>General</c:formatCode>
                <c:ptCount val="11"/>
                <c:pt idx="0">
                  <c:v>66</c:v>
                </c:pt>
                <c:pt idx="1">
                  <c:v>4</c:v>
                </c:pt>
                <c:pt idx="2">
                  <c:v>15</c:v>
                </c:pt>
                <c:pt idx="3">
                  <c:v>40</c:v>
                </c:pt>
                <c:pt idx="4">
                  <c:v>4</c:v>
                </c:pt>
                <c:pt idx="5">
                  <c:v>12</c:v>
                </c:pt>
                <c:pt idx="6">
                  <c:v>22</c:v>
                </c:pt>
                <c:pt idx="7">
                  <c:v>38</c:v>
                </c:pt>
                <c:pt idx="8">
                  <c:v>10</c:v>
                </c:pt>
                <c:pt idx="9">
                  <c:v>17</c:v>
                </c:pt>
                <c:pt idx="10">
                  <c:v>532</c:v>
                </c:pt>
              </c:numCache>
            </c:numRef>
          </c:val>
          <c:extLst>
            <c:ext xmlns:c16="http://schemas.microsoft.com/office/drawing/2014/chart" uri="{C3380CC4-5D6E-409C-BE32-E72D297353CC}">
              <c16:uniqueId val="{00000000-BC06-4BC7-A39A-955185C7B5C9}"/>
            </c:ext>
          </c:extLst>
        </c:ser>
        <c:dLbls>
          <c:showLegendKey val="0"/>
          <c:showVal val="0"/>
          <c:showCatName val="0"/>
          <c:showSerName val="0"/>
          <c:showPercent val="0"/>
          <c:showBubbleSize val="0"/>
        </c:dLbls>
        <c:gapWidth val="219"/>
        <c:overlap val="-27"/>
        <c:axId val="590489848"/>
        <c:axId val="590489192"/>
      </c:barChart>
      <c:catAx>
        <c:axId val="590489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90489192"/>
        <c:crosses val="autoZero"/>
        <c:auto val="1"/>
        <c:lblAlgn val="ctr"/>
        <c:lblOffset val="100"/>
        <c:noMultiLvlLbl val="0"/>
      </c:catAx>
      <c:valAx>
        <c:axId val="590489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90489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Food Type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7E-40BC-837D-F580E137D98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7E-40BC-837D-F580E137D98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37E-40BC-837D-F580E137D98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37E-40BC-837D-F580E137D98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37E-40BC-837D-F580E137D98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37E-40BC-837D-F580E137D98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37E-40BC-837D-F580E137D98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37E-40BC-837D-F580E137D98D}"/>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Meat and Meat Products</c:v>
                </c:pt>
                <c:pt idx="1">
                  <c:v>Ready-Made Food</c:v>
                </c:pt>
                <c:pt idx="2">
                  <c:v>Bakery products, Flour products</c:v>
                </c:pt>
                <c:pt idx="3">
                  <c:v>Milk and Milk Products</c:v>
                </c:pt>
                <c:pt idx="4">
                  <c:v>Confectionary</c:v>
                </c:pt>
                <c:pt idx="5">
                  <c:v>Fish and Fish Products</c:v>
                </c:pt>
                <c:pt idx="6">
                  <c:v>Beverages</c:v>
                </c:pt>
                <c:pt idx="7">
                  <c:v>Other</c:v>
                </c:pt>
              </c:strCache>
            </c:strRef>
          </c:cat>
          <c:val>
            <c:numRef>
              <c:f>Sheet1!$B$2:$B$9</c:f>
              <c:numCache>
                <c:formatCode>General</c:formatCode>
                <c:ptCount val="8"/>
                <c:pt idx="0">
                  <c:v>0.27</c:v>
                </c:pt>
                <c:pt idx="1">
                  <c:v>0.15</c:v>
                </c:pt>
                <c:pt idx="2">
                  <c:v>0.13</c:v>
                </c:pt>
                <c:pt idx="3">
                  <c:v>0.12</c:v>
                </c:pt>
                <c:pt idx="4">
                  <c:v>0.11</c:v>
                </c:pt>
                <c:pt idx="5">
                  <c:v>0.06</c:v>
                </c:pt>
                <c:pt idx="6">
                  <c:v>0.05</c:v>
                </c:pt>
                <c:pt idx="7">
                  <c:v>0.11</c:v>
                </c:pt>
              </c:numCache>
            </c:numRef>
          </c:val>
          <c:extLst>
            <c:ext xmlns:c16="http://schemas.microsoft.com/office/drawing/2014/chart" uri="{C3380CC4-5D6E-409C-BE32-E72D297353CC}">
              <c16:uniqueId val="{00000010-237E-40BC-837D-F580E137D98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9DE6-9F2C-4629-8DFC-B27F87D0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26827</Words>
  <Characters>152917</Characters>
  <Application>Microsoft Office Word</Application>
  <DocSecurity>0</DocSecurity>
  <Lines>1274</Lines>
  <Paragraphs>358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179386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Kobakhidze</dc:creator>
  <cp:keywords/>
  <dc:description/>
  <cp:lastModifiedBy>Lela Berdzuli</cp:lastModifiedBy>
  <cp:revision>52</cp:revision>
  <cp:lastPrinted>2018-08-15T11:28:00Z</cp:lastPrinted>
  <dcterms:created xsi:type="dcterms:W3CDTF">2018-08-11T09:27:00Z</dcterms:created>
  <dcterms:modified xsi:type="dcterms:W3CDTF">2018-08-17T10:56:00Z</dcterms:modified>
</cp:coreProperties>
</file>